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FD81DB">
      <w:pPr>
        <w:pStyle w:val="6"/>
        <w:spacing w:line="296" w:lineRule="auto"/>
      </w:pPr>
    </w:p>
    <w:p w14:paraId="286B9882">
      <w:pPr>
        <w:pStyle w:val="6"/>
        <w:spacing w:line="297" w:lineRule="auto"/>
      </w:pPr>
    </w:p>
    <w:p w14:paraId="42C686EC">
      <w:pPr>
        <w:pStyle w:val="6"/>
        <w:spacing w:line="297" w:lineRule="auto"/>
      </w:pPr>
    </w:p>
    <w:p w14:paraId="5532E174">
      <w:pPr>
        <w:widowControl w:val="0"/>
        <w:kinsoku/>
        <w:adjustRightInd/>
        <w:snapToGrid/>
        <w:spacing w:line="360" w:lineRule="auto"/>
        <w:jc w:val="center"/>
        <w:rPr>
          <w:rFonts w:hint="eastAsia" w:ascii="宋体" w:hAnsi="宋体" w:eastAsia="宋体" w:cs="宋体"/>
          <w:sz w:val="48"/>
          <w:szCs w:val="48"/>
          <w:lang w:eastAsia="zh-CN"/>
        </w:rPr>
      </w:pPr>
      <w:r>
        <w:rPr>
          <w:rFonts w:hint="eastAsia" w:ascii="宋体" w:hAnsi="宋体" w:eastAsia="宋体" w:cs="宋体"/>
          <w:b/>
          <w:bCs/>
          <w:spacing w:val="8"/>
          <w:sz w:val="48"/>
          <w:szCs w:val="48"/>
          <w:lang w:eastAsia="zh-CN"/>
        </w:rPr>
        <w:t>格尔木昆鹏能源开发建设有限公司</w:t>
      </w:r>
    </w:p>
    <w:p w14:paraId="1BFFF131">
      <w:pPr>
        <w:widowControl w:val="0"/>
        <w:kinsoku/>
        <w:adjustRightInd/>
        <w:snapToGrid/>
        <w:spacing w:line="360" w:lineRule="auto"/>
        <w:jc w:val="center"/>
        <w:rPr>
          <w:rFonts w:hint="eastAsia" w:ascii="宋体" w:hAnsi="宋体" w:eastAsia="宋体" w:cs="宋体"/>
          <w:b/>
          <w:bCs/>
          <w:spacing w:val="10"/>
          <w:sz w:val="47"/>
          <w:szCs w:val="47"/>
          <w:lang w:eastAsia="zh-CN"/>
        </w:rPr>
      </w:pPr>
      <w:r>
        <w:rPr>
          <w:rFonts w:hint="eastAsia" w:ascii="宋体" w:hAnsi="宋体" w:eastAsia="宋体" w:cs="宋体"/>
          <w:b/>
          <w:bCs/>
          <w:spacing w:val="10"/>
          <w:sz w:val="48"/>
          <w:szCs w:val="48"/>
          <w:lang w:eastAsia="zh-CN"/>
        </w:rPr>
        <w:t>青海省格尔木市茶格高速南建筑用砂2#矿</w:t>
      </w:r>
    </w:p>
    <w:p w14:paraId="44D4944E">
      <w:pPr>
        <w:kinsoku/>
        <w:adjustRightInd/>
        <w:snapToGrid/>
        <w:spacing w:line="360" w:lineRule="auto"/>
        <w:jc w:val="center"/>
        <w:rPr>
          <w:rFonts w:hint="eastAsia" w:ascii="黑体" w:hAnsi="黑体" w:eastAsia="黑体" w:cs="黑体"/>
          <w:sz w:val="52"/>
          <w:szCs w:val="52"/>
          <w:lang w:eastAsia="zh-CN"/>
        </w:rPr>
      </w:pPr>
      <w:r>
        <w:rPr>
          <w:rFonts w:ascii="黑体" w:hAnsi="黑体" w:eastAsia="黑体" w:cs="黑体"/>
          <w:spacing w:val="-10"/>
          <w:sz w:val="52"/>
          <w:szCs w:val="52"/>
          <w:lang w:eastAsia="zh-CN"/>
        </w:rPr>
        <w:t>矿区生态修复方案</w:t>
      </w:r>
    </w:p>
    <w:p w14:paraId="2A4A5452">
      <w:pPr>
        <w:pStyle w:val="6"/>
        <w:spacing w:line="247" w:lineRule="auto"/>
        <w:rPr>
          <w:lang w:eastAsia="zh-CN"/>
        </w:rPr>
      </w:pPr>
    </w:p>
    <w:p w14:paraId="00919B6B">
      <w:pPr>
        <w:pStyle w:val="6"/>
        <w:spacing w:line="247" w:lineRule="auto"/>
        <w:rPr>
          <w:lang w:eastAsia="zh-CN"/>
        </w:rPr>
      </w:pPr>
    </w:p>
    <w:p w14:paraId="6D04123D">
      <w:pPr>
        <w:pStyle w:val="6"/>
        <w:spacing w:line="247" w:lineRule="auto"/>
        <w:rPr>
          <w:lang w:eastAsia="zh-CN"/>
        </w:rPr>
      </w:pPr>
    </w:p>
    <w:p w14:paraId="503C9B1B">
      <w:pPr>
        <w:pStyle w:val="6"/>
        <w:spacing w:line="247" w:lineRule="auto"/>
        <w:rPr>
          <w:lang w:eastAsia="zh-CN"/>
        </w:rPr>
      </w:pPr>
    </w:p>
    <w:p w14:paraId="6AC47972">
      <w:pPr>
        <w:pStyle w:val="8"/>
        <w:ind w:firstLine="640"/>
        <w:rPr>
          <w:rFonts w:hint="eastAsia" w:eastAsiaTheme="minorEastAsia"/>
          <w:sz w:val="32"/>
          <w:szCs w:val="32"/>
          <w:lang w:eastAsia="zh-CN"/>
        </w:rPr>
      </w:pPr>
    </w:p>
    <w:p w14:paraId="1C15BFC4">
      <w:pPr>
        <w:pStyle w:val="8"/>
        <w:ind w:firstLine="640"/>
        <w:rPr>
          <w:rFonts w:hint="eastAsia" w:eastAsiaTheme="minorEastAsia"/>
          <w:sz w:val="32"/>
          <w:szCs w:val="32"/>
          <w:lang w:eastAsia="zh-CN"/>
        </w:rPr>
      </w:pPr>
    </w:p>
    <w:p w14:paraId="59E7EBD1">
      <w:pPr>
        <w:pStyle w:val="8"/>
        <w:ind w:firstLine="640"/>
        <w:rPr>
          <w:rFonts w:hint="eastAsia" w:eastAsiaTheme="minorEastAsia"/>
          <w:sz w:val="32"/>
          <w:szCs w:val="32"/>
          <w:lang w:eastAsia="zh-CN"/>
        </w:rPr>
      </w:pPr>
    </w:p>
    <w:p w14:paraId="49E9E6B8">
      <w:pPr>
        <w:pStyle w:val="8"/>
        <w:ind w:firstLine="640"/>
        <w:rPr>
          <w:rFonts w:hint="eastAsia" w:eastAsiaTheme="minorEastAsia"/>
          <w:sz w:val="32"/>
          <w:szCs w:val="32"/>
          <w:lang w:eastAsia="zh-CN"/>
        </w:rPr>
      </w:pPr>
    </w:p>
    <w:p w14:paraId="57D38ABD">
      <w:pPr>
        <w:pStyle w:val="8"/>
        <w:ind w:firstLine="640"/>
        <w:rPr>
          <w:rFonts w:hint="eastAsia" w:eastAsiaTheme="minorEastAsia"/>
          <w:sz w:val="32"/>
          <w:szCs w:val="32"/>
          <w:lang w:eastAsia="zh-CN"/>
        </w:rPr>
      </w:pPr>
    </w:p>
    <w:p w14:paraId="35EEA569">
      <w:pPr>
        <w:pStyle w:val="8"/>
        <w:ind w:firstLine="640"/>
        <w:rPr>
          <w:rFonts w:hint="eastAsia" w:eastAsiaTheme="minorEastAsia"/>
          <w:sz w:val="32"/>
          <w:szCs w:val="32"/>
          <w:lang w:eastAsia="zh-CN"/>
        </w:rPr>
      </w:pPr>
    </w:p>
    <w:p w14:paraId="6BF82C95">
      <w:pPr>
        <w:pStyle w:val="6"/>
        <w:spacing w:line="247" w:lineRule="auto"/>
        <w:rPr>
          <w:lang w:eastAsia="zh-CN"/>
        </w:rPr>
      </w:pPr>
    </w:p>
    <w:p w14:paraId="2AD3391B">
      <w:pPr>
        <w:pStyle w:val="6"/>
        <w:spacing w:line="247" w:lineRule="auto"/>
        <w:rPr>
          <w:lang w:eastAsia="zh-CN"/>
        </w:rPr>
      </w:pPr>
    </w:p>
    <w:p w14:paraId="044286B8">
      <w:pPr>
        <w:pStyle w:val="6"/>
        <w:spacing w:line="248" w:lineRule="auto"/>
        <w:rPr>
          <w:lang w:eastAsia="zh-CN"/>
        </w:rPr>
      </w:pPr>
    </w:p>
    <w:p w14:paraId="56495F05">
      <w:pPr>
        <w:pStyle w:val="6"/>
        <w:spacing w:line="248" w:lineRule="auto"/>
        <w:rPr>
          <w:lang w:eastAsia="zh-CN"/>
        </w:rPr>
      </w:pPr>
    </w:p>
    <w:p w14:paraId="57CF20ED">
      <w:pPr>
        <w:pStyle w:val="6"/>
        <w:spacing w:line="248" w:lineRule="auto"/>
        <w:rPr>
          <w:lang w:eastAsia="zh-CN"/>
        </w:rPr>
      </w:pPr>
    </w:p>
    <w:p w14:paraId="402F0355">
      <w:pPr>
        <w:pStyle w:val="6"/>
        <w:spacing w:line="248" w:lineRule="auto"/>
        <w:rPr>
          <w:lang w:eastAsia="zh-CN"/>
        </w:rPr>
      </w:pPr>
    </w:p>
    <w:p w14:paraId="669FA88C">
      <w:pPr>
        <w:spacing w:before="140" w:line="222" w:lineRule="auto"/>
        <w:jc w:val="center"/>
        <w:rPr>
          <w:rFonts w:hint="eastAsia" w:ascii="宋体" w:hAnsi="宋体" w:eastAsia="宋体" w:cs="宋体"/>
          <w:sz w:val="44"/>
          <w:szCs w:val="44"/>
          <w:lang w:eastAsia="zh-CN"/>
        </w:rPr>
      </w:pPr>
      <w:r>
        <w:rPr>
          <w:rFonts w:hint="eastAsia" w:ascii="宋体" w:hAnsi="宋体" w:eastAsia="宋体" w:cs="宋体"/>
          <w:spacing w:val="6"/>
          <w:sz w:val="44"/>
          <w:szCs w:val="44"/>
          <w:lang w:eastAsia="zh-CN"/>
        </w:rPr>
        <w:t>格尔木昆鹏能源开发建设有限公司</w:t>
      </w:r>
    </w:p>
    <w:p w14:paraId="1611E671">
      <w:pPr>
        <w:spacing w:before="141" w:line="223" w:lineRule="auto"/>
        <w:jc w:val="center"/>
        <w:rPr>
          <w:rFonts w:hint="eastAsia" w:ascii="宋体" w:hAnsi="宋体" w:eastAsia="宋体" w:cs="宋体"/>
          <w:spacing w:val="-6"/>
          <w:sz w:val="44"/>
          <w:szCs w:val="44"/>
          <w:lang w:eastAsia="zh-CN"/>
        </w:rPr>
      </w:pPr>
      <w:r>
        <w:rPr>
          <w:rFonts w:ascii="宋体" w:hAnsi="宋体" w:eastAsia="宋体" w:cs="宋体"/>
          <w:spacing w:val="-6"/>
          <w:sz w:val="44"/>
          <w:szCs w:val="44"/>
          <w:lang w:eastAsia="zh-CN"/>
        </w:rPr>
        <w:t>2025年1</w:t>
      </w:r>
      <w:r>
        <w:rPr>
          <w:rFonts w:hint="eastAsia" w:ascii="宋体" w:hAnsi="宋体" w:eastAsia="宋体" w:cs="宋体"/>
          <w:spacing w:val="-6"/>
          <w:sz w:val="44"/>
          <w:szCs w:val="44"/>
          <w:lang w:eastAsia="zh-CN"/>
        </w:rPr>
        <w:t>2</w:t>
      </w:r>
      <w:r>
        <w:rPr>
          <w:rFonts w:ascii="宋体" w:hAnsi="宋体" w:eastAsia="宋体" w:cs="宋体"/>
          <w:spacing w:val="-6"/>
          <w:sz w:val="44"/>
          <w:szCs w:val="44"/>
          <w:lang w:eastAsia="zh-CN"/>
        </w:rPr>
        <w:t>月</w:t>
      </w:r>
    </w:p>
    <w:p w14:paraId="47C23FE3">
      <w:pPr>
        <w:spacing w:before="141" w:line="223" w:lineRule="auto"/>
        <w:ind w:left="2412"/>
        <w:rPr>
          <w:rFonts w:hint="eastAsia" w:ascii="宋体" w:hAnsi="宋体" w:eastAsia="宋体" w:cs="宋体"/>
          <w:spacing w:val="-6"/>
          <w:sz w:val="43"/>
          <w:szCs w:val="43"/>
          <w:lang w:eastAsia="zh-CN"/>
        </w:rPr>
      </w:pPr>
    </w:p>
    <w:p w14:paraId="0219C235">
      <w:pPr>
        <w:spacing w:before="141" w:line="223" w:lineRule="auto"/>
        <w:ind w:left="2412"/>
        <w:rPr>
          <w:rFonts w:hint="eastAsia" w:ascii="宋体" w:hAnsi="宋体" w:eastAsia="宋体" w:cs="宋体"/>
          <w:spacing w:val="-6"/>
          <w:sz w:val="43"/>
          <w:szCs w:val="43"/>
          <w:lang w:eastAsia="zh-CN"/>
        </w:rPr>
      </w:pPr>
    </w:p>
    <w:p w14:paraId="313C1D75">
      <w:pPr>
        <w:spacing w:before="152" w:line="223" w:lineRule="auto"/>
        <w:jc w:val="center"/>
        <w:rPr>
          <w:rFonts w:hint="eastAsia" w:ascii="宋体" w:hAnsi="宋体" w:eastAsia="宋体" w:cs="宋体"/>
          <w:b/>
          <w:bCs/>
          <w:spacing w:val="8"/>
          <w:sz w:val="47"/>
          <w:szCs w:val="47"/>
          <w:lang w:eastAsia="zh-CN"/>
        </w:rPr>
      </w:pPr>
    </w:p>
    <w:p w14:paraId="6A42DFCE">
      <w:pPr>
        <w:adjustRightInd/>
        <w:snapToGrid/>
        <w:spacing w:line="360" w:lineRule="auto"/>
        <w:jc w:val="center"/>
        <w:rPr>
          <w:rFonts w:hint="eastAsia" w:ascii="宋体" w:hAnsi="宋体" w:eastAsia="宋体" w:cs="宋体"/>
          <w:sz w:val="48"/>
          <w:szCs w:val="48"/>
          <w:lang w:eastAsia="zh-CN"/>
        </w:rPr>
      </w:pPr>
      <w:r>
        <w:rPr>
          <w:rFonts w:hint="eastAsia" w:ascii="宋体" w:hAnsi="宋体" w:eastAsia="宋体" w:cs="宋体"/>
          <w:b/>
          <w:bCs/>
          <w:spacing w:val="8"/>
          <w:sz w:val="48"/>
          <w:szCs w:val="48"/>
          <w:lang w:eastAsia="zh-CN"/>
        </w:rPr>
        <w:t>格尔木昆鹏能源开发建设有限公司</w:t>
      </w:r>
    </w:p>
    <w:p w14:paraId="2290CB90">
      <w:pPr>
        <w:adjustRightInd/>
        <w:snapToGrid/>
        <w:spacing w:line="360" w:lineRule="auto"/>
        <w:jc w:val="center"/>
        <w:rPr>
          <w:rFonts w:hint="eastAsia" w:ascii="宋体" w:hAnsi="宋体" w:eastAsia="宋体" w:cs="宋体"/>
          <w:b/>
          <w:bCs/>
          <w:spacing w:val="10"/>
          <w:sz w:val="48"/>
          <w:szCs w:val="48"/>
          <w:lang w:eastAsia="zh-CN"/>
        </w:rPr>
      </w:pPr>
      <w:r>
        <w:rPr>
          <w:rFonts w:hint="eastAsia" w:ascii="宋体" w:hAnsi="宋体" w:eastAsia="宋体" w:cs="宋体"/>
          <w:b/>
          <w:bCs/>
          <w:spacing w:val="10"/>
          <w:sz w:val="48"/>
          <w:szCs w:val="48"/>
          <w:lang w:eastAsia="zh-CN"/>
        </w:rPr>
        <w:t>青海省格尔木市茶格高速南建筑用砂2#矿</w:t>
      </w:r>
    </w:p>
    <w:p w14:paraId="27DE121B">
      <w:pPr>
        <w:widowControl w:val="0"/>
        <w:kinsoku/>
        <w:adjustRightInd/>
        <w:snapToGrid/>
        <w:spacing w:line="360" w:lineRule="auto"/>
        <w:jc w:val="center"/>
        <w:rPr>
          <w:rFonts w:hint="eastAsia" w:ascii="黑体" w:hAnsi="黑体" w:eastAsia="黑体" w:cs="黑体"/>
          <w:b/>
          <w:bCs/>
          <w:spacing w:val="-10"/>
          <w:sz w:val="52"/>
          <w:szCs w:val="52"/>
          <w:lang w:eastAsia="zh-CN"/>
        </w:rPr>
      </w:pPr>
      <w:r>
        <w:rPr>
          <w:rFonts w:ascii="黑体" w:hAnsi="黑体" w:eastAsia="黑体" w:cs="黑体"/>
          <w:spacing w:val="-10"/>
          <w:sz w:val="52"/>
          <w:szCs w:val="52"/>
          <w:lang w:eastAsia="zh-CN"/>
        </w:rPr>
        <w:t>矿区生态修复方案</w:t>
      </w:r>
    </w:p>
    <w:p w14:paraId="0D695188">
      <w:pPr>
        <w:spacing w:before="374" w:line="218" w:lineRule="auto"/>
        <w:jc w:val="center"/>
        <w:rPr>
          <w:rFonts w:hint="eastAsia" w:ascii="黑体" w:hAnsi="黑体" w:eastAsia="黑体" w:cs="黑体"/>
          <w:b/>
          <w:bCs/>
          <w:spacing w:val="-10"/>
          <w:sz w:val="52"/>
          <w:szCs w:val="52"/>
          <w:lang w:eastAsia="zh-CN"/>
        </w:rPr>
      </w:pPr>
    </w:p>
    <w:p w14:paraId="1C6978F8">
      <w:pPr>
        <w:spacing w:before="374" w:line="218" w:lineRule="auto"/>
        <w:jc w:val="center"/>
        <w:rPr>
          <w:rFonts w:hint="eastAsia" w:ascii="黑体" w:hAnsi="黑体" w:eastAsia="黑体" w:cs="黑体"/>
          <w:b/>
          <w:bCs/>
          <w:spacing w:val="-10"/>
          <w:sz w:val="52"/>
          <w:szCs w:val="52"/>
          <w:lang w:eastAsia="zh-CN"/>
        </w:rPr>
      </w:pPr>
    </w:p>
    <w:p w14:paraId="15527C2B">
      <w:pPr>
        <w:widowControl w:val="0"/>
        <w:adjustRightInd/>
        <w:snapToGrid/>
        <w:spacing w:line="360" w:lineRule="auto"/>
        <w:jc w:val="both"/>
        <w:rPr>
          <w:rFonts w:hint="eastAsia" w:ascii="宋体" w:hAnsi="宋体" w:eastAsia="宋体" w:cs="宋体"/>
          <w:spacing w:val="6"/>
          <w:sz w:val="32"/>
          <w:szCs w:val="32"/>
          <w:lang w:eastAsia="zh-CN"/>
        </w:rPr>
      </w:pPr>
    </w:p>
    <w:p w14:paraId="18722855">
      <w:pPr>
        <w:widowControl w:val="0"/>
        <w:adjustRightInd/>
        <w:snapToGrid/>
        <w:spacing w:line="360" w:lineRule="auto"/>
        <w:jc w:val="both"/>
        <w:rPr>
          <w:rFonts w:hint="eastAsia" w:ascii="宋体" w:hAnsi="宋体" w:eastAsia="宋体" w:cs="宋体"/>
          <w:spacing w:val="6"/>
          <w:sz w:val="32"/>
          <w:szCs w:val="32"/>
          <w:lang w:eastAsia="zh-CN"/>
        </w:rPr>
      </w:pPr>
    </w:p>
    <w:p w14:paraId="6E820CE2">
      <w:pPr>
        <w:widowControl w:val="0"/>
        <w:adjustRightInd/>
        <w:snapToGrid/>
        <w:spacing w:line="360" w:lineRule="auto"/>
        <w:ind w:firstLine="996" w:firstLineChars="300"/>
        <w:jc w:val="both"/>
        <w:rPr>
          <w:rFonts w:hint="eastAsia" w:ascii="宋体" w:hAnsi="宋体" w:eastAsia="宋体" w:cs="宋体"/>
          <w:spacing w:val="6"/>
          <w:sz w:val="32"/>
          <w:szCs w:val="32"/>
          <w:lang w:eastAsia="zh-CN"/>
        </w:rPr>
      </w:pPr>
      <w:r>
        <w:rPr>
          <w:rFonts w:hint="eastAsia" w:ascii="宋体" w:hAnsi="宋体" w:eastAsia="宋体" w:cs="宋体"/>
          <w:spacing w:val="6"/>
          <w:sz w:val="32"/>
          <w:szCs w:val="32"/>
          <w:lang w:eastAsia="zh-CN"/>
        </w:rPr>
        <w:t>申报单位：格尔木昆鹏能源开发建设有限公司</w:t>
      </w:r>
    </w:p>
    <w:p w14:paraId="0E35294C">
      <w:pPr>
        <w:widowControl w:val="0"/>
        <w:adjustRightInd/>
        <w:snapToGrid/>
        <w:spacing w:line="360" w:lineRule="auto"/>
        <w:ind w:firstLine="996" w:firstLineChars="300"/>
        <w:jc w:val="both"/>
        <w:rPr>
          <w:rFonts w:hint="eastAsia" w:ascii="宋体" w:hAnsi="宋体" w:eastAsia="宋体" w:cs="宋体"/>
          <w:sz w:val="32"/>
          <w:szCs w:val="32"/>
          <w:lang w:eastAsia="zh-CN"/>
        </w:rPr>
      </w:pPr>
      <w:r>
        <w:rPr>
          <w:rFonts w:hint="eastAsia" w:ascii="宋体" w:hAnsi="宋体" w:eastAsia="宋体" w:cs="宋体"/>
          <w:spacing w:val="6"/>
          <w:sz w:val="32"/>
          <w:szCs w:val="32"/>
          <w:lang w:eastAsia="zh-CN"/>
        </w:rPr>
        <w:t>编制单位：</w:t>
      </w:r>
      <w:r>
        <w:rPr>
          <w:rFonts w:hint="eastAsia" w:ascii="宋体" w:hAnsi="宋体" w:eastAsia="宋体" w:cs="宋体"/>
          <w:sz w:val="32"/>
          <w:szCs w:val="32"/>
          <w:lang w:eastAsia="zh-CN"/>
        </w:rPr>
        <w:t>青海禹湃工程咨询有限公司</w:t>
      </w:r>
    </w:p>
    <w:p w14:paraId="287E115E">
      <w:pPr>
        <w:widowControl w:val="0"/>
        <w:adjustRightInd/>
        <w:snapToGrid/>
        <w:spacing w:line="360" w:lineRule="auto"/>
        <w:ind w:firstLine="960" w:firstLineChars="300"/>
        <w:jc w:val="both"/>
        <w:rPr>
          <w:rFonts w:hint="eastAsia" w:ascii="宋体" w:hAnsi="宋体" w:eastAsia="宋体" w:cs="宋体"/>
          <w:sz w:val="32"/>
          <w:szCs w:val="32"/>
          <w:lang w:eastAsia="zh-CN"/>
        </w:rPr>
      </w:pPr>
      <w:r>
        <w:rPr>
          <w:rFonts w:hint="eastAsia" w:ascii="宋体" w:hAnsi="宋体" w:eastAsia="宋体" w:cs="宋体"/>
          <w:sz w:val="32"/>
          <w:szCs w:val="32"/>
          <w:lang w:eastAsia="zh-CN"/>
        </w:rPr>
        <w:t>法人代表：王君杰</w:t>
      </w:r>
    </w:p>
    <w:p w14:paraId="076D04F0">
      <w:pPr>
        <w:widowControl w:val="0"/>
        <w:adjustRightInd/>
        <w:snapToGrid/>
        <w:spacing w:line="360" w:lineRule="auto"/>
        <w:ind w:firstLine="960" w:firstLineChars="300"/>
        <w:jc w:val="both"/>
        <w:rPr>
          <w:rFonts w:hint="eastAsia" w:ascii="宋体" w:hAnsi="宋体" w:eastAsia="宋体" w:cs="宋体"/>
          <w:sz w:val="32"/>
          <w:szCs w:val="32"/>
          <w:lang w:eastAsia="zh-CN"/>
        </w:rPr>
      </w:pPr>
      <w:r>
        <w:rPr>
          <w:rFonts w:hint="eastAsia" w:ascii="宋体" w:hAnsi="宋体" w:eastAsia="宋体" w:cs="宋体"/>
          <w:sz w:val="32"/>
          <w:szCs w:val="32"/>
          <w:lang w:eastAsia="zh-CN"/>
        </w:rPr>
        <w:t>项目负责：王君杰</w:t>
      </w:r>
    </w:p>
    <w:p w14:paraId="7C633118">
      <w:pPr>
        <w:widowControl w:val="0"/>
        <w:adjustRightInd/>
        <w:snapToGrid/>
        <w:spacing w:line="360" w:lineRule="auto"/>
        <w:ind w:firstLine="960" w:firstLineChars="300"/>
        <w:jc w:val="both"/>
        <w:rPr>
          <w:rFonts w:hint="eastAsia" w:ascii="宋体" w:hAnsi="宋体" w:eastAsia="宋体" w:cs="宋体"/>
          <w:sz w:val="32"/>
          <w:szCs w:val="32"/>
          <w:lang w:eastAsia="zh-CN"/>
        </w:rPr>
      </w:pPr>
      <w:r>
        <w:rPr>
          <w:rFonts w:hint="eastAsia" w:ascii="宋体" w:hAnsi="宋体" w:eastAsia="宋体" w:cs="宋体"/>
          <w:sz w:val="32"/>
          <w:szCs w:val="32"/>
          <w:lang w:eastAsia="zh-CN"/>
        </w:rPr>
        <w:t>审    核：毛康乐</w:t>
      </w:r>
    </w:p>
    <w:p w14:paraId="045F519F">
      <w:pPr>
        <w:widowControl w:val="0"/>
        <w:adjustRightInd/>
        <w:snapToGrid/>
        <w:spacing w:line="360" w:lineRule="auto"/>
        <w:ind w:firstLine="960" w:firstLineChars="300"/>
        <w:jc w:val="both"/>
        <w:rPr>
          <w:rFonts w:hint="eastAsia" w:ascii="宋体" w:hAnsi="宋体" w:eastAsia="宋体" w:cs="宋体"/>
          <w:sz w:val="32"/>
          <w:szCs w:val="32"/>
          <w:lang w:eastAsia="zh-CN"/>
        </w:rPr>
      </w:pPr>
      <w:r>
        <w:rPr>
          <w:rFonts w:hint="eastAsia" w:ascii="宋体" w:hAnsi="宋体" w:eastAsia="宋体" w:cs="宋体"/>
          <w:sz w:val="32"/>
          <w:szCs w:val="32"/>
          <w:lang w:eastAsia="zh-CN"/>
        </w:rPr>
        <w:t>编制人员：王君杰 毛康乐 巩建强 黄瑞斌</w:t>
      </w:r>
    </w:p>
    <w:p w14:paraId="57CAE374">
      <w:pPr>
        <w:widowControl w:val="0"/>
        <w:adjustRightInd/>
        <w:snapToGrid/>
        <w:spacing w:line="360" w:lineRule="auto"/>
        <w:ind w:firstLine="960" w:firstLineChars="300"/>
        <w:jc w:val="both"/>
        <w:rPr>
          <w:rFonts w:hint="eastAsia" w:ascii="宋体" w:hAnsi="宋体" w:eastAsia="宋体" w:cs="宋体"/>
          <w:sz w:val="32"/>
          <w:szCs w:val="32"/>
          <w:lang w:eastAsia="zh-CN"/>
        </w:rPr>
        <w:sectPr>
          <w:headerReference r:id="rId3" w:type="default"/>
          <w:footerReference r:id="rId4" w:type="default"/>
          <w:pgSz w:w="11905" w:h="16839"/>
          <w:pgMar w:top="1440" w:right="1800" w:bottom="1440" w:left="1800" w:header="0" w:footer="0" w:gutter="0"/>
          <w:cols w:space="720" w:num="1"/>
        </w:sectPr>
      </w:pPr>
      <w:r>
        <w:rPr>
          <w:rFonts w:hint="eastAsia" w:ascii="宋体" w:hAnsi="宋体" w:eastAsia="宋体" w:cs="宋体"/>
          <w:sz w:val="32"/>
          <w:szCs w:val="32"/>
          <w:lang w:eastAsia="zh-CN"/>
        </w:rPr>
        <w:t>申报时间：2025年12月</w:t>
      </w:r>
    </w:p>
    <w:p w14:paraId="1D84B6CE">
      <w:pPr>
        <w:widowControl w:val="0"/>
        <w:adjustRightInd/>
        <w:snapToGrid/>
        <w:spacing w:line="360" w:lineRule="auto"/>
        <w:jc w:val="center"/>
        <w:rPr>
          <w:rFonts w:hint="eastAsia" w:ascii="宋体" w:hAnsi="宋体" w:eastAsia="宋体" w:cs="宋体"/>
          <w:b/>
          <w:bCs/>
          <w:spacing w:val="10"/>
          <w:sz w:val="24"/>
          <w:szCs w:val="24"/>
          <w:lang w:eastAsia="zh-CN"/>
        </w:rPr>
      </w:pPr>
      <w:r>
        <w:rPr>
          <w:rFonts w:hint="eastAsia" w:ascii="宋体" w:hAnsi="宋体" w:eastAsia="宋体" w:cs="宋体"/>
          <w:b/>
          <w:bCs/>
          <w:spacing w:val="10"/>
          <w:sz w:val="24"/>
          <w:szCs w:val="24"/>
          <w:lang w:eastAsia="zh-CN"/>
        </w:rPr>
        <w:t>矿区生态修复方案编制信息表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6"/>
        <w:gridCol w:w="1160"/>
        <w:gridCol w:w="760"/>
        <w:gridCol w:w="1490"/>
        <w:gridCol w:w="1148"/>
        <w:gridCol w:w="64"/>
        <w:gridCol w:w="475"/>
        <w:gridCol w:w="746"/>
        <w:gridCol w:w="75"/>
        <w:gridCol w:w="322"/>
        <w:gridCol w:w="1171"/>
        <w:gridCol w:w="734"/>
      </w:tblGrid>
      <w:tr w14:paraId="54985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restart"/>
            <w:vAlign w:val="center"/>
          </w:tcPr>
          <w:p w14:paraId="0765B243">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采矿权人信息</w:t>
            </w:r>
          </w:p>
        </w:tc>
        <w:tc>
          <w:tcPr>
            <w:tcW w:w="1920" w:type="dxa"/>
            <w:gridSpan w:val="2"/>
            <w:vAlign w:val="center"/>
          </w:tcPr>
          <w:p w14:paraId="63747B5F">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采矿权人名称</w:t>
            </w:r>
          </w:p>
        </w:tc>
        <w:tc>
          <w:tcPr>
            <w:tcW w:w="6225" w:type="dxa"/>
            <w:gridSpan w:val="9"/>
            <w:vAlign w:val="center"/>
          </w:tcPr>
          <w:p w14:paraId="06ADCCD9">
            <w:pPr>
              <w:widowControl w:val="0"/>
              <w:kinsoku/>
              <w:adjustRightInd/>
              <w:snapToGrid/>
              <w:jc w:val="center"/>
              <w:rPr>
                <w:rFonts w:hint="eastAsia" w:ascii="宋体" w:hAnsi="宋体" w:eastAsia="宋体" w:cs="宋体"/>
                <w:b/>
                <w:bCs/>
                <w:spacing w:val="10"/>
                <w:lang w:eastAsia="zh-CN"/>
              </w:rPr>
            </w:pPr>
            <w:r>
              <w:rPr>
                <w:rFonts w:hint="eastAsia" w:ascii="仿宋" w:hAnsi="仿宋" w:eastAsia="仿宋" w:cs="仿宋"/>
                <w:lang w:eastAsia="zh-CN"/>
              </w:rPr>
              <w:t>格尔木昆鹏能源开发建设有限公司</w:t>
            </w:r>
          </w:p>
        </w:tc>
      </w:tr>
      <w:tr w14:paraId="6F37B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729F4F9A">
            <w:pPr>
              <w:widowControl w:val="0"/>
              <w:kinsoku/>
              <w:adjustRightInd/>
              <w:snapToGrid/>
              <w:jc w:val="center"/>
              <w:rPr>
                <w:rFonts w:hint="eastAsia" w:ascii="仿宋" w:hAnsi="仿宋" w:eastAsia="仿宋" w:cs="仿宋"/>
                <w:lang w:eastAsia="zh-CN"/>
              </w:rPr>
            </w:pPr>
          </w:p>
        </w:tc>
        <w:tc>
          <w:tcPr>
            <w:tcW w:w="1920" w:type="dxa"/>
            <w:gridSpan w:val="2"/>
            <w:vAlign w:val="center"/>
          </w:tcPr>
          <w:p w14:paraId="64BDBAA2">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统一社会信用代码</w:t>
            </w:r>
          </w:p>
        </w:tc>
        <w:tc>
          <w:tcPr>
            <w:tcW w:w="2638" w:type="dxa"/>
            <w:gridSpan w:val="2"/>
            <w:vAlign w:val="center"/>
          </w:tcPr>
          <w:p w14:paraId="5DADC413">
            <w:pPr>
              <w:widowControl w:val="0"/>
              <w:kinsoku/>
              <w:adjustRightInd/>
              <w:snapToGrid/>
              <w:jc w:val="center"/>
              <w:rPr>
                <w:rFonts w:hint="eastAsia" w:ascii="仿宋" w:hAnsi="仿宋" w:eastAsia="仿宋" w:cs="仿宋"/>
                <w:lang w:eastAsia="zh-CN"/>
              </w:rPr>
            </w:pPr>
            <w:r>
              <w:rPr>
                <w:rFonts w:hint="eastAsia" w:ascii="仿宋" w:hAnsi="仿宋" w:eastAsia="仿宋" w:cs="仿宋"/>
                <w:lang w:val="en-US" w:eastAsia="zh-CN"/>
              </w:rPr>
              <w:t>91632801MADF4XE05J</w:t>
            </w:r>
          </w:p>
        </w:tc>
        <w:tc>
          <w:tcPr>
            <w:tcW w:w="1285" w:type="dxa"/>
            <w:gridSpan w:val="3"/>
            <w:vAlign w:val="center"/>
          </w:tcPr>
          <w:p w14:paraId="6E47E3F7">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联系人</w:t>
            </w:r>
          </w:p>
        </w:tc>
        <w:tc>
          <w:tcPr>
            <w:tcW w:w="2302" w:type="dxa"/>
            <w:gridSpan w:val="4"/>
            <w:vAlign w:val="center"/>
          </w:tcPr>
          <w:p w14:paraId="57017D7B">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张家绪</w:t>
            </w:r>
          </w:p>
        </w:tc>
      </w:tr>
      <w:tr w14:paraId="23A8B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376" w:type="dxa"/>
            <w:vMerge w:val="continue"/>
            <w:vAlign w:val="center"/>
          </w:tcPr>
          <w:p w14:paraId="466E75AE">
            <w:pPr>
              <w:widowControl w:val="0"/>
              <w:kinsoku/>
              <w:adjustRightInd/>
              <w:snapToGrid/>
              <w:jc w:val="center"/>
              <w:rPr>
                <w:rFonts w:hint="eastAsia" w:ascii="仿宋" w:hAnsi="仿宋" w:eastAsia="仿宋" w:cs="仿宋"/>
                <w:lang w:eastAsia="zh-CN"/>
              </w:rPr>
            </w:pPr>
          </w:p>
        </w:tc>
        <w:tc>
          <w:tcPr>
            <w:tcW w:w="1920" w:type="dxa"/>
            <w:gridSpan w:val="2"/>
            <w:vAlign w:val="center"/>
          </w:tcPr>
          <w:p w14:paraId="16A56B0E">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联系地址</w:t>
            </w:r>
          </w:p>
        </w:tc>
        <w:tc>
          <w:tcPr>
            <w:tcW w:w="2638" w:type="dxa"/>
            <w:gridSpan w:val="2"/>
            <w:vAlign w:val="center"/>
          </w:tcPr>
          <w:p w14:paraId="12018D28">
            <w:pPr>
              <w:widowControl w:val="0"/>
              <w:kinsoku/>
              <w:adjustRightInd/>
              <w:snapToGrid/>
              <w:jc w:val="both"/>
              <w:rPr>
                <w:rFonts w:hint="eastAsia" w:ascii="宋体" w:hAnsi="宋体" w:eastAsia="宋体" w:cs="宋体"/>
                <w:b/>
                <w:bCs/>
                <w:spacing w:val="10"/>
                <w:lang w:eastAsia="zh-CN"/>
              </w:rPr>
            </w:pPr>
            <w:r>
              <w:rPr>
                <w:rFonts w:hint="eastAsia" w:ascii="仿宋" w:hAnsi="仿宋" w:eastAsia="仿宋" w:cs="仿宋"/>
                <w:lang w:val="en-US" w:eastAsia="zh-CN"/>
              </w:rPr>
              <w:t>青海省海西州格尔木市柴达木西路36号盐化集团办公楼305室</w:t>
            </w:r>
          </w:p>
        </w:tc>
        <w:tc>
          <w:tcPr>
            <w:tcW w:w="1285" w:type="dxa"/>
            <w:gridSpan w:val="3"/>
            <w:vAlign w:val="center"/>
          </w:tcPr>
          <w:p w14:paraId="61AA0274">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联系电话</w:t>
            </w:r>
          </w:p>
        </w:tc>
        <w:tc>
          <w:tcPr>
            <w:tcW w:w="2302" w:type="dxa"/>
            <w:gridSpan w:val="4"/>
            <w:vAlign w:val="center"/>
          </w:tcPr>
          <w:p w14:paraId="522D01BE">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13709774588</w:t>
            </w:r>
          </w:p>
        </w:tc>
      </w:tr>
      <w:tr w14:paraId="30A5D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1B2FEEC9">
            <w:pPr>
              <w:widowControl w:val="0"/>
              <w:kinsoku/>
              <w:adjustRightInd/>
              <w:snapToGrid/>
              <w:jc w:val="center"/>
              <w:rPr>
                <w:rFonts w:hint="eastAsia" w:ascii="仿宋" w:hAnsi="仿宋" w:eastAsia="仿宋" w:cs="仿宋"/>
                <w:lang w:eastAsia="zh-CN"/>
              </w:rPr>
            </w:pPr>
          </w:p>
        </w:tc>
        <w:tc>
          <w:tcPr>
            <w:tcW w:w="1920" w:type="dxa"/>
            <w:gridSpan w:val="2"/>
            <w:vAlign w:val="center"/>
          </w:tcPr>
          <w:p w14:paraId="18E85157">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采矿权证证号</w:t>
            </w:r>
          </w:p>
        </w:tc>
        <w:tc>
          <w:tcPr>
            <w:tcW w:w="2638" w:type="dxa"/>
            <w:gridSpan w:val="2"/>
            <w:vAlign w:val="center"/>
          </w:tcPr>
          <w:p w14:paraId="2385328D">
            <w:pPr>
              <w:widowControl w:val="0"/>
              <w:kinsoku/>
              <w:adjustRightInd/>
              <w:snapToGrid/>
              <w:jc w:val="center"/>
              <w:rPr>
                <w:rFonts w:hint="eastAsia" w:ascii="宋体" w:hAnsi="宋体" w:eastAsia="宋体" w:cs="宋体"/>
                <w:b/>
                <w:bCs/>
                <w:spacing w:val="10"/>
                <w:lang w:eastAsia="zh-CN"/>
              </w:rPr>
            </w:pPr>
            <w:r>
              <w:rPr>
                <w:rFonts w:hint="default" w:ascii="仿宋" w:hAnsi="仿宋" w:eastAsia="仿宋" w:cs="仿宋"/>
                <w:lang w:val="en-US" w:eastAsia="zh-CN"/>
              </w:rPr>
              <w:t>C</w:t>
            </w:r>
            <w:r>
              <w:rPr>
                <w:rFonts w:hint="eastAsia" w:ascii="仿宋" w:hAnsi="仿宋" w:eastAsia="仿宋" w:cs="仿宋"/>
                <w:lang w:val="en-US" w:eastAsia="zh-CN"/>
              </w:rPr>
              <w:t>6328012021017100151367</w:t>
            </w:r>
          </w:p>
        </w:tc>
        <w:tc>
          <w:tcPr>
            <w:tcW w:w="1285" w:type="dxa"/>
            <w:gridSpan w:val="3"/>
            <w:vAlign w:val="center"/>
          </w:tcPr>
          <w:p w14:paraId="47F10AB0">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开采方式</w:t>
            </w:r>
          </w:p>
        </w:tc>
        <w:tc>
          <w:tcPr>
            <w:tcW w:w="2302" w:type="dxa"/>
            <w:gridSpan w:val="4"/>
            <w:vAlign w:val="center"/>
          </w:tcPr>
          <w:p w14:paraId="0533D603">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露天开采</w:t>
            </w:r>
          </w:p>
        </w:tc>
      </w:tr>
      <w:tr w14:paraId="62AED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66192D89">
            <w:pPr>
              <w:widowControl w:val="0"/>
              <w:kinsoku/>
              <w:adjustRightInd/>
              <w:snapToGrid/>
              <w:jc w:val="center"/>
              <w:rPr>
                <w:rFonts w:hint="eastAsia" w:ascii="仿宋" w:hAnsi="仿宋" w:eastAsia="仿宋" w:cs="仿宋"/>
                <w:lang w:eastAsia="zh-CN"/>
              </w:rPr>
            </w:pPr>
          </w:p>
        </w:tc>
        <w:tc>
          <w:tcPr>
            <w:tcW w:w="1920" w:type="dxa"/>
            <w:gridSpan w:val="2"/>
            <w:vAlign w:val="center"/>
          </w:tcPr>
          <w:p w14:paraId="6EF4DEDF">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采矿权面积</w:t>
            </w:r>
          </w:p>
        </w:tc>
        <w:tc>
          <w:tcPr>
            <w:tcW w:w="2638" w:type="dxa"/>
            <w:gridSpan w:val="2"/>
            <w:vAlign w:val="center"/>
          </w:tcPr>
          <w:p w14:paraId="431705C0">
            <w:pPr>
              <w:widowControl w:val="0"/>
              <w:kinsoku/>
              <w:adjustRightInd/>
              <w:snapToGrid/>
              <w:jc w:val="center"/>
              <w:rPr>
                <w:rFonts w:hint="eastAsia" w:ascii="仿宋" w:hAnsi="仿宋" w:eastAsia="仿宋" w:cs="仿宋"/>
                <w:lang w:eastAsia="zh-CN"/>
              </w:rPr>
            </w:pPr>
            <w:r>
              <w:rPr>
                <w:rFonts w:hint="eastAsia" w:ascii="仿宋" w:hAnsi="仿宋" w:eastAsia="仿宋" w:cs="仿宋"/>
                <w:lang w:val="en-US" w:eastAsia="zh-CN"/>
              </w:rPr>
              <w:t>0.9996</w:t>
            </w:r>
            <w:r>
              <w:rPr>
                <w:rFonts w:hint="eastAsia" w:ascii="仿宋" w:hAnsi="仿宋" w:eastAsia="仿宋" w:cs="仿宋"/>
                <w:lang w:eastAsia="zh-CN"/>
              </w:rPr>
              <w:t>km</w:t>
            </w:r>
            <w:r>
              <w:rPr>
                <w:rFonts w:hint="eastAsia" w:ascii="仿宋" w:hAnsi="仿宋" w:eastAsia="仿宋" w:cs="仿宋"/>
                <w:vertAlign w:val="superscript"/>
                <w:lang w:eastAsia="zh-CN"/>
              </w:rPr>
              <w:t>2</w:t>
            </w:r>
          </w:p>
        </w:tc>
        <w:tc>
          <w:tcPr>
            <w:tcW w:w="1285" w:type="dxa"/>
            <w:gridSpan w:val="3"/>
            <w:vAlign w:val="center"/>
          </w:tcPr>
          <w:p w14:paraId="65447096">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采矿权拐点坐标</w:t>
            </w:r>
          </w:p>
        </w:tc>
        <w:tc>
          <w:tcPr>
            <w:tcW w:w="2302" w:type="dxa"/>
            <w:gridSpan w:val="4"/>
            <w:vAlign w:val="center"/>
          </w:tcPr>
          <w:p w14:paraId="0DA02288">
            <w:pPr>
              <w:widowControl w:val="0"/>
              <w:kinsoku/>
              <w:adjustRightInd/>
              <w:snapToGrid/>
              <w:jc w:val="both"/>
              <w:rPr>
                <w:rFonts w:hint="eastAsia" w:ascii="仿宋" w:hAnsi="仿宋" w:eastAsia="仿宋" w:cs="仿宋"/>
                <w:lang w:eastAsia="zh-CN"/>
              </w:rPr>
            </w:pPr>
            <w:r>
              <w:rPr>
                <w:rFonts w:hint="eastAsia" w:ascii="仿宋" w:hAnsi="仿宋" w:eastAsia="仿宋" w:cs="仿宋"/>
                <w:lang w:eastAsia="zh-CN"/>
              </w:rPr>
              <w:t>J1:</w:t>
            </w:r>
            <w:r>
              <w:rPr>
                <w:rFonts w:hint="eastAsia" w:ascii="仿宋" w:hAnsi="仿宋" w:eastAsia="仿宋" w:cs="仿宋"/>
                <w:lang w:val="en-US" w:eastAsia="zh-CN"/>
              </w:rPr>
              <w:t xml:space="preserve"> </w:t>
            </w:r>
            <w:r>
              <w:rPr>
                <w:rFonts w:hint="eastAsia" w:ascii="仿宋" w:hAnsi="仿宋" w:eastAsia="仿宋" w:cs="仿宋"/>
                <w:lang w:eastAsia="zh-CN"/>
              </w:rPr>
              <w:t>X</w:t>
            </w:r>
            <w:r>
              <w:rPr>
                <w:rFonts w:hint="eastAsia" w:ascii="仿宋" w:hAnsi="仿宋" w:eastAsia="仿宋" w:cs="仿宋"/>
                <w:lang w:val="en-US" w:eastAsia="zh-CN"/>
              </w:rPr>
              <w:t xml:space="preserve"> </w:t>
            </w:r>
            <w:r>
              <w:rPr>
                <w:rFonts w:hint="eastAsia" w:ascii="仿宋" w:hAnsi="仿宋" w:eastAsia="仿宋" w:cs="仿宋"/>
                <w:lang w:eastAsia="zh-CN"/>
              </w:rPr>
              <w:t>4022850.22</w:t>
            </w:r>
          </w:p>
          <w:p w14:paraId="53596E6E">
            <w:pPr>
              <w:widowControl w:val="0"/>
              <w:kinsoku/>
              <w:adjustRightInd/>
              <w:snapToGrid/>
              <w:ind w:firstLine="420" w:firstLineChars="200"/>
              <w:jc w:val="both"/>
              <w:rPr>
                <w:rFonts w:hint="eastAsia" w:ascii="仿宋" w:hAnsi="仿宋" w:eastAsia="仿宋" w:cs="仿宋"/>
                <w:lang w:eastAsia="zh-CN"/>
              </w:rPr>
            </w:pPr>
            <w:r>
              <w:rPr>
                <w:rFonts w:hint="eastAsia" w:ascii="仿宋" w:hAnsi="仿宋" w:eastAsia="仿宋" w:cs="仿宋"/>
                <w:lang w:eastAsia="zh-CN"/>
              </w:rPr>
              <w:t>Y 16669559.87</w:t>
            </w:r>
          </w:p>
          <w:p w14:paraId="28EE668D">
            <w:pPr>
              <w:widowControl w:val="0"/>
              <w:kinsoku/>
              <w:adjustRightInd/>
              <w:snapToGrid/>
              <w:jc w:val="both"/>
              <w:rPr>
                <w:rFonts w:hint="eastAsia" w:ascii="仿宋" w:hAnsi="仿宋" w:eastAsia="仿宋" w:cs="仿宋"/>
                <w:lang w:eastAsia="zh-CN"/>
              </w:rPr>
            </w:pPr>
            <w:r>
              <w:rPr>
                <w:rFonts w:hint="eastAsia" w:ascii="仿宋" w:hAnsi="仿宋" w:eastAsia="仿宋" w:cs="仿宋"/>
                <w:lang w:eastAsia="zh-CN"/>
              </w:rPr>
              <w:t>J2:</w:t>
            </w:r>
            <w:r>
              <w:rPr>
                <w:rFonts w:hint="eastAsia" w:ascii="仿宋" w:hAnsi="仿宋" w:eastAsia="仿宋" w:cs="仿宋"/>
                <w:lang w:val="en-US" w:eastAsia="zh-CN"/>
              </w:rPr>
              <w:t xml:space="preserve"> </w:t>
            </w:r>
            <w:r>
              <w:rPr>
                <w:rFonts w:hint="eastAsia" w:ascii="仿宋" w:hAnsi="仿宋" w:eastAsia="仿宋" w:cs="仿宋"/>
                <w:lang w:eastAsia="zh-CN"/>
              </w:rPr>
              <w:t>X</w:t>
            </w:r>
            <w:r>
              <w:rPr>
                <w:rFonts w:hint="eastAsia" w:ascii="仿宋" w:hAnsi="仿宋" w:eastAsia="仿宋" w:cs="仿宋"/>
                <w:lang w:val="en-US" w:eastAsia="zh-CN"/>
              </w:rPr>
              <w:t xml:space="preserve"> </w:t>
            </w:r>
            <w:r>
              <w:rPr>
                <w:rFonts w:hint="eastAsia" w:ascii="仿宋" w:hAnsi="仿宋" w:eastAsia="仿宋" w:cs="仿宋"/>
                <w:lang w:eastAsia="zh-CN"/>
              </w:rPr>
              <w:t>4023418.23</w:t>
            </w:r>
          </w:p>
          <w:p w14:paraId="5CE0FAF9">
            <w:pPr>
              <w:widowControl w:val="0"/>
              <w:kinsoku/>
              <w:adjustRightInd/>
              <w:snapToGrid/>
              <w:ind w:firstLine="420" w:firstLineChars="200"/>
              <w:jc w:val="both"/>
              <w:rPr>
                <w:rFonts w:hint="eastAsia" w:ascii="仿宋" w:hAnsi="仿宋" w:eastAsia="仿宋" w:cs="仿宋"/>
                <w:lang w:eastAsia="zh-CN"/>
              </w:rPr>
            </w:pPr>
            <w:r>
              <w:rPr>
                <w:rFonts w:hint="eastAsia" w:ascii="仿宋" w:hAnsi="仿宋" w:eastAsia="仿宋" w:cs="仿宋"/>
                <w:lang w:eastAsia="zh-CN"/>
              </w:rPr>
              <w:t>Y</w:t>
            </w:r>
            <w:r>
              <w:rPr>
                <w:rFonts w:hint="eastAsia" w:ascii="仿宋" w:hAnsi="仿宋" w:eastAsia="仿宋" w:cs="仿宋"/>
                <w:lang w:val="en-US" w:eastAsia="zh-CN"/>
              </w:rPr>
              <w:t xml:space="preserve"> </w:t>
            </w:r>
            <w:r>
              <w:rPr>
                <w:rFonts w:hint="eastAsia" w:ascii="仿宋" w:hAnsi="仿宋" w:eastAsia="仿宋" w:cs="仿宋"/>
                <w:lang w:eastAsia="zh-CN"/>
              </w:rPr>
              <w:t>16671994.89</w:t>
            </w:r>
          </w:p>
          <w:p w14:paraId="3E0914CC">
            <w:pPr>
              <w:widowControl w:val="0"/>
              <w:kinsoku/>
              <w:adjustRightInd/>
              <w:snapToGrid/>
              <w:jc w:val="both"/>
              <w:rPr>
                <w:rFonts w:hint="eastAsia" w:ascii="仿宋" w:hAnsi="仿宋" w:eastAsia="仿宋" w:cs="仿宋"/>
                <w:lang w:eastAsia="zh-CN"/>
              </w:rPr>
            </w:pPr>
            <w:r>
              <w:rPr>
                <w:rFonts w:hint="eastAsia" w:ascii="仿宋" w:hAnsi="仿宋" w:eastAsia="仿宋" w:cs="仿宋"/>
                <w:lang w:eastAsia="zh-CN"/>
              </w:rPr>
              <w:t>J3:</w:t>
            </w:r>
            <w:r>
              <w:rPr>
                <w:rFonts w:hint="eastAsia" w:ascii="仿宋" w:hAnsi="仿宋" w:eastAsia="仿宋" w:cs="仿宋"/>
                <w:lang w:val="en-US" w:eastAsia="zh-CN"/>
              </w:rPr>
              <w:t xml:space="preserve"> </w:t>
            </w:r>
            <w:r>
              <w:rPr>
                <w:rFonts w:hint="eastAsia" w:ascii="仿宋" w:hAnsi="仿宋" w:eastAsia="仿宋" w:cs="仿宋"/>
                <w:lang w:eastAsia="zh-CN"/>
              </w:rPr>
              <w:t>X 4023028.22</w:t>
            </w:r>
          </w:p>
          <w:p w14:paraId="7D6FB6FD">
            <w:pPr>
              <w:widowControl w:val="0"/>
              <w:kinsoku/>
              <w:adjustRightInd/>
              <w:snapToGrid/>
              <w:ind w:firstLine="420" w:firstLineChars="200"/>
              <w:jc w:val="both"/>
              <w:rPr>
                <w:rFonts w:hint="eastAsia" w:ascii="仿宋" w:hAnsi="仿宋" w:eastAsia="仿宋" w:cs="仿宋"/>
                <w:lang w:eastAsia="zh-CN"/>
              </w:rPr>
            </w:pPr>
            <w:r>
              <w:rPr>
                <w:rFonts w:hint="eastAsia" w:ascii="仿宋" w:hAnsi="仿宋" w:eastAsia="仿宋" w:cs="仿宋"/>
                <w:lang w:eastAsia="zh-CN"/>
              </w:rPr>
              <w:t>Y 16672085.89</w:t>
            </w:r>
          </w:p>
          <w:p w14:paraId="41CC02CB">
            <w:pPr>
              <w:widowControl w:val="0"/>
              <w:kinsoku/>
              <w:adjustRightInd/>
              <w:snapToGrid/>
              <w:jc w:val="both"/>
              <w:rPr>
                <w:rFonts w:hint="eastAsia" w:ascii="仿宋" w:hAnsi="仿宋" w:eastAsia="仿宋" w:cs="仿宋"/>
                <w:lang w:eastAsia="zh-CN"/>
              </w:rPr>
            </w:pPr>
            <w:r>
              <w:rPr>
                <w:rFonts w:hint="eastAsia" w:ascii="仿宋" w:hAnsi="仿宋" w:eastAsia="仿宋" w:cs="仿宋"/>
                <w:lang w:eastAsia="zh-CN"/>
              </w:rPr>
              <w:t>J4:</w:t>
            </w:r>
            <w:r>
              <w:rPr>
                <w:rFonts w:hint="eastAsia" w:ascii="仿宋" w:hAnsi="仿宋" w:eastAsia="仿宋" w:cs="仿宋"/>
                <w:lang w:val="en-US" w:eastAsia="zh-CN"/>
              </w:rPr>
              <w:t xml:space="preserve"> </w:t>
            </w:r>
            <w:r>
              <w:rPr>
                <w:rFonts w:hint="eastAsia" w:ascii="仿宋" w:hAnsi="仿宋" w:eastAsia="仿宋" w:cs="仿宋"/>
                <w:lang w:eastAsia="zh-CN"/>
              </w:rPr>
              <w:t>X 4022461.22</w:t>
            </w:r>
          </w:p>
          <w:p w14:paraId="273CCDC6">
            <w:pPr>
              <w:widowControl w:val="0"/>
              <w:kinsoku/>
              <w:adjustRightInd/>
              <w:snapToGrid/>
              <w:ind w:firstLine="420" w:firstLineChars="200"/>
              <w:jc w:val="both"/>
              <w:rPr>
                <w:rFonts w:hint="eastAsia" w:ascii="仿宋" w:hAnsi="仿宋" w:eastAsia="仿宋" w:cs="仿宋"/>
                <w:lang w:eastAsia="zh-CN"/>
              </w:rPr>
            </w:pPr>
            <w:r>
              <w:rPr>
                <w:rFonts w:hint="eastAsia" w:ascii="仿宋" w:hAnsi="仿宋" w:eastAsia="仿宋" w:cs="仿宋"/>
                <w:lang w:eastAsia="zh-CN"/>
              </w:rPr>
              <w:t>Y</w:t>
            </w:r>
            <w:r>
              <w:rPr>
                <w:rFonts w:hint="eastAsia" w:ascii="仿宋" w:hAnsi="仿宋" w:eastAsia="仿宋" w:cs="仿宋"/>
                <w:lang w:val="en-US" w:eastAsia="zh-CN"/>
              </w:rPr>
              <w:t xml:space="preserve"> </w:t>
            </w:r>
            <w:r>
              <w:rPr>
                <w:rFonts w:hint="eastAsia" w:ascii="仿宋" w:hAnsi="仿宋" w:eastAsia="仿宋" w:cs="仿宋"/>
                <w:lang w:eastAsia="zh-CN"/>
              </w:rPr>
              <w:t>16669650.87</w:t>
            </w:r>
          </w:p>
        </w:tc>
      </w:tr>
      <w:tr w14:paraId="09859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698E357E">
            <w:pPr>
              <w:widowControl w:val="0"/>
              <w:kinsoku/>
              <w:adjustRightInd/>
              <w:snapToGrid/>
              <w:jc w:val="center"/>
              <w:rPr>
                <w:rFonts w:hint="eastAsia" w:ascii="仿宋" w:hAnsi="仿宋" w:eastAsia="仿宋" w:cs="仿宋"/>
                <w:lang w:eastAsia="zh-CN"/>
              </w:rPr>
            </w:pPr>
          </w:p>
        </w:tc>
        <w:tc>
          <w:tcPr>
            <w:tcW w:w="1920" w:type="dxa"/>
            <w:gridSpan w:val="2"/>
            <w:vAlign w:val="center"/>
          </w:tcPr>
          <w:p w14:paraId="0FA7181D">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采矿权有效期限</w:t>
            </w:r>
          </w:p>
        </w:tc>
        <w:tc>
          <w:tcPr>
            <w:tcW w:w="6225" w:type="dxa"/>
            <w:gridSpan w:val="9"/>
            <w:vAlign w:val="center"/>
          </w:tcPr>
          <w:p w14:paraId="1854D53F">
            <w:pPr>
              <w:widowControl w:val="0"/>
              <w:kinsoku/>
              <w:adjustRightInd/>
              <w:snapToGrid/>
              <w:jc w:val="center"/>
              <w:rPr>
                <w:rFonts w:hint="default" w:ascii="仿宋" w:hAnsi="仿宋" w:eastAsia="仿宋" w:cs="仿宋"/>
                <w:lang w:val="en-US" w:eastAsia="zh-CN"/>
              </w:rPr>
            </w:pPr>
            <w:r>
              <w:rPr>
                <w:rFonts w:hint="eastAsia" w:ascii="仿宋" w:hAnsi="仿宋" w:eastAsia="仿宋" w:cs="仿宋"/>
                <w:lang w:val="en-US" w:eastAsia="zh-CN"/>
              </w:rPr>
              <w:t>2024年01月29日～2027年01月29日</w:t>
            </w:r>
          </w:p>
        </w:tc>
      </w:tr>
      <w:tr w14:paraId="6DF68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6598CD14">
            <w:pPr>
              <w:widowControl w:val="0"/>
              <w:kinsoku/>
              <w:adjustRightInd/>
              <w:snapToGrid/>
              <w:jc w:val="center"/>
              <w:rPr>
                <w:rFonts w:hint="eastAsia" w:ascii="仿宋" w:hAnsi="仿宋" w:eastAsia="仿宋" w:cs="仿宋"/>
                <w:lang w:eastAsia="zh-CN"/>
              </w:rPr>
            </w:pPr>
          </w:p>
        </w:tc>
        <w:tc>
          <w:tcPr>
            <w:tcW w:w="1920" w:type="dxa"/>
            <w:gridSpan w:val="2"/>
            <w:vAlign w:val="center"/>
          </w:tcPr>
          <w:p w14:paraId="3200764C">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开采主矿种</w:t>
            </w:r>
          </w:p>
        </w:tc>
        <w:tc>
          <w:tcPr>
            <w:tcW w:w="2638" w:type="dxa"/>
            <w:gridSpan w:val="2"/>
            <w:vAlign w:val="center"/>
          </w:tcPr>
          <w:p w14:paraId="56C70904">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建筑用砂</w:t>
            </w:r>
          </w:p>
        </w:tc>
        <w:tc>
          <w:tcPr>
            <w:tcW w:w="1285" w:type="dxa"/>
            <w:gridSpan w:val="3"/>
            <w:vAlign w:val="center"/>
          </w:tcPr>
          <w:p w14:paraId="2CB1BC44">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其他矿种</w:t>
            </w:r>
          </w:p>
        </w:tc>
        <w:tc>
          <w:tcPr>
            <w:tcW w:w="2302" w:type="dxa"/>
            <w:gridSpan w:val="4"/>
            <w:vAlign w:val="center"/>
          </w:tcPr>
          <w:p w14:paraId="39904010">
            <w:pPr>
              <w:widowControl w:val="0"/>
              <w:kinsoku/>
              <w:adjustRightInd/>
              <w:snapToGrid/>
              <w:jc w:val="center"/>
              <w:rPr>
                <w:rFonts w:hint="eastAsia" w:ascii="宋体" w:hAnsi="宋体" w:eastAsia="宋体" w:cs="宋体"/>
                <w:b/>
                <w:bCs/>
                <w:spacing w:val="10"/>
                <w:lang w:eastAsia="zh-CN"/>
              </w:rPr>
            </w:pPr>
            <w:r>
              <w:rPr>
                <w:rFonts w:hint="eastAsia" w:ascii="宋体" w:hAnsi="宋体" w:eastAsia="宋体" w:cs="宋体"/>
                <w:b/>
                <w:bCs/>
                <w:spacing w:val="10"/>
                <w:lang w:eastAsia="zh-CN"/>
              </w:rPr>
              <w:t>/</w:t>
            </w:r>
          </w:p>
        </w:tc>
      </w:tr>
      <w:tr w14:paraId="126E8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376" w:type="dxa"/>
            <w:vMerge w:val="continue"/>
            <w:vAlign w:val="center"/>
          </w:tcPr>
          <w:p w14:paraId="263E07D0">
            <w:pPr>
              <w:widowControl w:val="0"/>
              <w:kinsoku/>
              <w:adjustRightInd/>
              <w:snapToGrid/>
              <w:jc w:val="center"/>
              <w:rPr>
                <w:rFonts w:hint="eastAsia" w:ascii="仿宋" w:hAnsi="仿宋" w:eastAsia="仿宋" w:cs="仿宋"/>
                <w:lang w:eastAsia="zh-CN"/>
              </w:rPr>
            </w:pPr>
          </w:p>
        </w:tc>
        <w:tc>
          <w:tcPr>
            <w:tcW w:w="1920" w:type="dxa"/>
            <w:gridSpan w:val="2"/>
            <w:vAlign w:val="center"/>
          </w:tcPr>
          <w:p w14:paraId="34BE8790">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方案编制情形</w:t>
            </w:r>
          </w:p>
        </w:tc>
        <w:tc>
          <w:tcPr>
            <w:tcW w:w="6225" w:type="dxa"/>
            <w:gridSpan w:val="9"/>
            <w:vAlign w:val="center"/>
          </w:tcPr>
          <w:p w14:paraId="0C63605B">
            <w:pPr>
              <w:widowControl w:val="0"/>
              <w:kinsoku/>
              <w:adjustRightInd/>
              <w:snapToGrid/>
              <w:jc w:val="both"/>
              <w:rPr>
                <w:rFonts w:hint="eastAsia" w:ascii="仿宋" w:hAnsi="仿宋" w:eastAsia="仿宋" w:cs="仿宋"/>
                <w:lang w:eastAsia="zh-CN"/>
              </w:rPr>
            </w:pPr>
            <w:r>
              <w:rPr>
                <w:rFonts w:hint="eastAsia" w:ascii="仿宋" w:hAnsi="仿宋" w:eastAsia="仿宋" w:cs="仿宋"/>
                <w:lang w:eastAsia="zh-CN"/>
              </w:rPr>
              <w:t>□首次申请采矿许可 □ 扩大采矿场地域   □缩小采矿场地域</w:t>
            </w:r>
          </w:p>
          <w:p w14:paraId="5B7429A5">
            <w:pPr>
              <w:widowControl w:val="0"/>
              <w:kinsoku/>
              <w:adjustRightInd/>
              <w:snapToGrid/>
              <w:jc w:val="both"/>
              <w:rPr>
                <w:rFonts w:hint="eastAsia" w:ascii="宋体" w:hAnsi="宋体" w:eastAsia="宋体" w:cs="宋体"/>
                <w:b/>
                <w:bCs/>
                <w:spacing w:val="10"/>
                <w:lang w:eastAsia="zh-CN"/>
              </w:rPr>
            </w:pPr>
            <w:r>
              <w:rPr>
                <w:rFonts w:hint="eastAsia" w:ascii="仿宋" w:hAnsi="仿宋" w:eastAsia="仿宋" w:cs="仿宋"/>
                <w:lang w:eastAsia="zh-CN"/>
              </w:rPr>
              <w:t>□变更开采方式     □变更开采主矿种  □延续  ☑其他</w:t>
            </w:r>
          </w:p>
        </w:tc>
      </w:tr>
      <w:tr w14:paraId="15681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restart"/>
            <w:vAlign w:val="center"/>
          </w:tcPr>
          <w:p w14:paraId="363E5E3F">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方案编制单位</w:t>
            </w:r>
          </w:p>
        </w:tc>
        <w:tc>
          <w:tcPr>
            <w:tcW w:w="1920" w:type="dxa"/>
            <w:gridSpan w:val="2"/>
            <w:vAlign w:val="center"/>
          </w:tcPr>
          <w:p w14:paraId="11B27167">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单位名称</w:t>
            </w:r>
          </w:p>
        </w:tc>
        <w:tc>
          <w:tcPr>
            <w:tcW w:w="6225" w:type="dxa"/>
            <w:gridSpan w:val="9"/>
            <w:vAlign w:val="center"/>
          </w:tcPr>
          <w:p w14:paraId="05B54015">
            <w:pPr>
              <w:widowControl w:val="0"/>
              <w:kinsoku/>
              <w:adjustRightInd/>
              <w:snapToGrid/>
              <w:jc w:val="center"/>
              <w:rPr>
                <w:rFonts w:hint="eastAsia" w:ascii="宋体" w:hAnsi="宋体" w:eastAsia="宋体" w:cs="宋体"/>
                <w:b/>
                <w:bCs/>
                <w:spacing w:val="10"/>
                <w:lang w:eastAsia="zh-CN"/>
              </w:rPr>
            </w:pPr>
            <w:r>
              <w:rPr>
                <w:rFonts w:hint="eastAsia" w:ascii="仿宋" w:hAnsi="仿宋" w:eastAsia="仿宋" w:cs="仿宋"/>
                <w:lang w:eastAsia="zh-CN"/>
              </w:rPr>
              <w:t>青海禹湃工程咨询有限公司</w:t>
            </w:r>
          </w:p>
        </w:tc>
      </w:tr>
      <w:tr w14:paraId="1E951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55B7910F">
            <w:pPr>
              <w:widowControl w:val="0"/>
              <w:kinsoku/>
              <w:adjustRightInd/>
              <w:snapToGrid/>
              <w:jc w:val="center"/>
              <w:rPr>
                <w:rFonts w:hint="eastAsia" w:ascii="仿宋" w:hAnsi="仿宋" w:eastAsia="仿宋" w:cs="仿宋"/>
                <w:lang w:eastAsia="zh-CN"/>
              </w:rPr>
            </w:pPr>
          </w:p>
        </w:tc>
        <w:tc>
          <w:tcPr>
            <w:tcW w:w="1920" w:type="dxa"/>
            <w:gridSpan w:val="2"/>
            <w:vAlign w:val="center"/>
          </w:tcPr>
          <w:p w14:paraId="7E44BEDE">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统一社会信用代码</w:t>
            </w:r>
          </w:p>
        </w:tc>
        <w:tc>
          <w:tcPr>
            <w:tcW w:w="3177" w:type="dxa"/>
            <w:gridSpan w:val="4"/>
            <w:vAlign w:val="center"/>
          </w:tcPr>
          <w:p w14:paraId="2E5B435C">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91630104MA758YME5E</w:t>
            </w:r>
          </w:p>
        </w:tc>
        <w:tc>
          <w:tcPr>
            <w:tcW w:w="1143" w:type="dxa"/>
            <w:gridSpan w:val="3"/>
            <w:vAlign w:val="center"/>
          </w:tcPr>
          <w:p w14:paraId="7E33EBDF">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联系人</w:t>
            </w:r>
          </w:p>
        </w:tc>
        <w:tc>
          <w:tcPr>
            <w:tcW w:w="1905" w:type="dxa"/>
            <w:gridSpan w:val="2"/>
            <w:vAlign w:val="center"/>
          </w:tcPr>
          <w:p w14:paraId="28ECC6D8">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王君杰</w:t>
            </w:r>
          </w:p>
        </w:tc>
      </w:tr>
      <w:tr w14:paraId="76ABD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58B80FB8">
            <w:pPr>
              <w:widowControl w:val="0"/>
              <w:kinsoku/>
              <w:adjustRightInd/>
              <w:snapToGrid/>
              <w:jc w:val="center"/>
              <w:rPr>
                <w:rFonts w:hint="eastAsia" w:ascii="仿宋" w:hAnsi="仿宋" w:eastAsia="仿宋" w:cs="仿宋"/>
                <w:lang w:eastAsia="zh-CN"/>
              </w:rPr>
            </w:pPr>
          </w:p>
        </w:tc>
        <w:tc>
          <w:tcPr>
            <w:tcW w:w="1920" w:type="dxa"/>
            <w:gridSpan w:val="2"/>
            <w:vAlign w:val="center"/>
          </w:tcPr>
          <w:p w14:paraId="283FE155">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联系地址</w:t>
            </w:r>
          </w:p>
        </w:tc>
        <w:tc>
          <w:tcPr>
            <w:tcW w:w="3177" w:type="dxa"/>
            <w:gridSpan w:val="4"/>
            <w:vAlign w:val="center"/>
          </w:tcPr>
          <w:p w14:paraId="35B44B67">
            <w:pPr>
              <w:widowControl w:val="0"/>
              <w:kinsoku/>
              <w:adjustRightInd/>
              <w:snapToGrid/>
              <w:jc w:val="both"/>
              <w:rPr>
                <w:rFonts w:hint="eastAsia" w:ascii="仿宋" w:hAnsi="仿宋" w:eastAsia="仿宋" w:cs="仿宋"/>
                <w:lang w:eastAsia="zh-CN"/>
              </w:rPr>
            </w:pPr>
            <w:r>
              <w:rPr>
                <w:rFonts w:hint="eastAsia" w:ascii="仿宋" w:hAnsi="仿宋" w:eastAsia="仿宋" w:cs="仿宋"/>
                <w:lang w:eastAsia="zh-CN"/>
              </w:rPr>
              <w:t>西宁市城西区西川南路53号副2号1号楼2单元2246室</w:t>
            </w:r>
          </w:p>
        </w:tc>
        <w:tc>
          <w:tcPr>
            <w:tcW w:w="1143" w:type="dxa"/>
            <w:gridSpan w:val="3"/>
            <w:vAlign w:val="center"/>
          </w:tcPr>
          <w:p w14:paraId="60BD79DE">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联系电话</w:t>
            </w:r>
          </w:p>
        </w:tc>
        <w:tc>
          <w:tcPr>
            <w:tcW w:w="1905" w:type="dxa"/>
            <w:gridSpan w:val="2"/>
            <w:vAlign w:val="center"/>
          </w:tcPr>
          <w:p w14:paraId="5FF9367A">
            <w:pPr>
              <w:widowControl w:val="0"/>
              <w:kinsoku/>
              <w:adjustRightInd/>
              <w:snapToGrid/>
              <w:jc w:val="center"/>
              <w:rPr>
                <w:rFonts w:hint="default" w:ascii="仿宋" w:hAnsi="仿宋" w:eastAsia="仿宋" w:cs="仿宋"/>
                <w:lang w:val="en-US" w:eastAsia="zh-CN"/>
              </w:rPr>
            </w:pPr>
            <w:r>
              <w:rPr>
                <w:rFonts w:hint="eastAsia" w:ascii="仿宋" w:hAnsi="仿宋" w:eastAsia="仿宋" w:cs="仿宋"/>
                <w:lang w:val="en-US" w:eastAsia="zh-CN"/>
              </w:rPr>
              <w:t>15297091886</w:t>
            </w:r>
          </w:p>
        </w:tc>
      </w:tr>
      <w:tr w14:paraId="2F0D6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397E4DF5">
            <w:pPr>
              <w:widowControl w:val="0"/>
              <w:kinsoku/>
              <w:adjustRightInd/>
              <w:snapToGrid/>
              <w:jc w:val="center"/>
              <w:rPr>
                <w:rFonts w:hint="eastAsia" w:ascii="仿宋" w:hAnsi="仿宋" w:eastAsia="仿宋" w:cs="仿宋"/>
                <w:lang w:eastAsia="zh-CN"/>
              </w:rPr>
            </w:pPr>
          </w:p>
        </w:tc>
        <w:tc>
          <w:tcPr>
            <w:tcW w:w="8145" w:type="dxa"/>
            <w:gridSpan w:val="11"/>
            <w:vAlign w:val="center"/>
          </w:tcPr>
          <w:p w14:paraId="3D8193BC">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编制负责人</w:t>
            </w:r>
          </w:p>
        </w:tc>
      </w:tr>
      <w:tr w14:paraId="03D45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2FC4D909">
            <w:pPr>
              <w:widowControl w:val="0"/>
              <w:kinsoku/>
              <w:adjustRightInd/>
              <w:snapToGrid/>
              <w:jc w:val="center"/>
              <w:rPr>
                <w:rFonts w:hint="eastAsia" w:ascii="仿宋" w:hAnsi="仿宋" w:eastAsia="仿宋" w:cs="仿宋"/>
                <w:lang w:eastAsia="zh-CN"/>
              </w:rPr>
            </w:pPr>
          </w:p>
        </w:tc>
        <w:tc>
          <w:tcPr>
            <w:tcW w:w="1160" w:type="dxa"/>
            <w:vAlign w:val="center"/>
          </w:tcPr>
          <w:p w14:paraId="2DC70796">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姓名</w:t>
            </w:r>
          </w:p>
        </w:tc>
        <w:tc>
          <w:tcPr>
            <w:tcW w:w="2250" w:type="dxa"/>
            <w:gridSpan w:val="2"/>
            <w:vAlign w:val="center"/>
          </w:tcPr>
          <w:p w14:paraId="477ACCC0">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身份证号</w:t>
            </w:r>
          </w:p>
        </w:tc>
        <w:tc>
          <w:tcPr>
            <w:tcW w:w="1212" w:type="dxa"/>
            <w:gridSpan w:val="2"/>
            <w:vAlign w:val="center"/>
          </w:tcPr>
          <w:p w14:paraId="4D0DB1A0">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专业</w:t>
            </w:r>
          </w:p>
        </w:tc>
        <w:tc>
          <w:tcPr>
            <w:tcW w:w="1296" w:type="dxa"/>
            <w:gridSpan w:val="3"/>
            <w:vAlign w:val="center"/>
          </w:tcPr>
          <w:p w14:paraId="216412BB">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职称/职务</w:t>
            </w:r>
          </w:p>
        </w:tc>
        <w:tc>
          <w:tcPr>
            <w:tcW w:w="1493" w:type="dxa"/>
            <w:gridSpan w:val="2"/>
            <w:vAlign w:val="center"/>
          </w:tcPr>
          <w:p w14:paraId="172F4DFA">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联系电话</w:t>
            </w:r>
          </w:p>
        </w:tc>
        <w:tc>
          <w:tcPr>
            <w:tcW w:w="734" w:type="dxa"/>
            <w:vAlign w:val="center"/>
          </w:tcPr>
          <w:p w14:paraId="0CCF3296">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签名</w:t>
            </w:r>
          </w:p>
        </w:tc>
      </w:tr>
      <w:tr w14:paraId="68A2A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0356C13F">
            <w:pPr>
              <w:widowControl w:val="0"/>
              <w:kinsoku/>
              <w:adjustRightInd/>
              <w:snapToGrid/>
              <w:jc w:val="center"/>
              <w:rPr>
                <w:rFonts w:hint="eastAsia" w:ascii="仿宋" w:hAnsi="仿宋" w:eastAsia="仿宋" w:cs="仿宋"/>
                <w:lang w:eastAsia="zh-CN"/>
              </w:rPr>
            </w:pPr>
          </w:p>
        </w:tc>
        <w:tc>
          <w:tcPr>
            <w:tcW w:w="1160" w:type="dxa"/>
            <w:vAlign w:val="center"/>
          </w:tcPr>
          <w:p w14:paraId="32403573">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王君杰</w:t>
            </w:r>
          </w:p>
        </w:tc>
        <w:tc>
          <w:tcPr>
            <w:tcW w:w="2250" w:type="dxa"/>
            <w:gridSpan w:val="2"/>
            <w:vAlign w:val="center"/>
          </w:tcPr>
          <w:p w14:paraId="644F5305">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6205</w:t>
            </w:r>
            <w:r>
              <w:rPr>
                <w:rFonts w:hint="eastAsia" w:ascii="仿宋" w:hAnsi="仿宋" w:eastAsia="仿宋" w:cs="仿宋"/>
                <w:lang w:val="en-US" w:eastAsia="zh-CN"/>
              </w:rPr>
              <w:t>2</w:t>
            </w:r>
            <w:r>
              <w:rPr>
                <w:rFonts w:hint="eastAsia" w:ascii="仿宋" w:hAnsi="仿宋" w:eastAsia="仿宋" w:cs="仿宋"/>
                <w:lang w:eastAsia="zh-CN"/>
              </w:rPr>
              <w:t>3198</w:t>
            </w:r>
            <w:r>
              <w:rPr>
                <w:rFonts w:hint="eastAsia" w:ascii="仿宋" w:hAnsi="仿宋" w:eastAsia="仿宋" w:cs="仿宋"/>
                <w:lang w:val="en-US" w:eastAsia="zh-CN"/>
              </w:rPr>
              <w:t>9</w:t>
            </w:r>
            <w:r>
              <w:rPr>
                <w:rFonts w:hint="eastAsia" w:ascii="仿宋" w:hAnsi="仿宋" w:eastAsia="仿宋" w:cs="仿宋"/>
                <w:lang w:eastAsia="zh-CN"/>
              </w:rPr>
              <w:t>0</w:t>
            </w:r>
            <w:r>
              <w:rPr>
                <w:rFonts w:hint="eastAsia" w:ascii="仿宋" w:hAnsi="仿宋" w:eastAsia="仿宋" w:cs="仿宋"/>
                <w:lang w:val="en-US" w:eastAsia="zh-CN"/>
              </w:rPr>
              <w:t>510559</w:t>
            </w:r>
            <w:r>
              <w:rPr>
                <w:rFonts w:hint="eastAsia" w:ascii="仿宋" w:hAnsi="仿宋" w:eastAsia="仿宋" w:cs="仿宋"/>
                <w:lang w:eastAsia="zh-CN"/>
              </w:rPr>
              <w:t>x</w:t>
            </w:r>
          </w:p>
        </w:tc>
        <w:tc>
          <w:tcPr>
            <w:tcW w:w="1212" w:type="dxa"/>
            <w:gridSpan w:val="2"/>
            <w:vAlign w:val="center"/>
          </w:tcPr>
          <w:p w14:paraId="5230C347">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地质矿产</w:t>
            </w:r>
          </w:p>
        </w:tc>
        <w:tc>
          <w:tcPr>
            <w:tcW w:w="1296" w:type="dxa"/>
            <w:gridSpan w:val="3"/>
            <w:vAlign w:val="center"/>
          </w:tcPr>
          <w:p w14:paraId="33C05A2E">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总经理</w:t>
            </w:r>
          </w:p>
        </w:tc>
        <w:tc>
          <w:tcPr>
            <w:tcW w:w="1493" w:type="dxa"/>
            <w:gridSpan w:val="2"/>
            <w:vAlign w:val="center"/>
          </w:tcPr>
          <w:p w14:paraId="755052F3">
            <w:pPr>
              <w:widowControl w:val="0"/>
              <w:kinsoku/>
              <w:adjustRightInd/>
              <w:snapToGrid/>
              <w:jc w:val="center"/>
              <w:rPr>
                <w:rFonts w:hint="default" w:ascii="仿宋" w:hAnsi="仿宋" w:eastAsia="仿宋" w:cs="仿宋"/>
                <w:lang w:val="en-US" w:eastAsia="zh-CN"/>
              </w:rPr>
            </w:pPr>
            <w:r>
              <w:rPr>
                <w:rFonts w:hint="eastAsia" w:ascii="仿宋" w:hAnsi="仿宋" w:eastAsia="仿宋" w:cs="仿宋"/>
                <w:lang w:val="en-US" w:eastAsia="zh-CN"/>
              </w:rPr>
              <w:t>15297091886</w:t>
            </w:r>
          </w:p>
        </w:tc>
        <w:tc>
          <w:tcPr>
            <w:tcW w:w="734" w:type="dxa"/>
            <w:vAlign w:val="center"/>
          </w:tcPr>
          <w:p w14:paraId="258B35FB">
            <w:pPr>
              <w:widowControl w:val="0"/>
              <w:kinsoku/>
              <w:adjustRightInd/>
              <w:snapToGrid/>
              <w:jc w:val="center"/>
              <w:rPr>
                <w:rFonts w:hint="eastAsia" w:ascii="仿宋" w:hAnsi="仿宋" w:eastAsia="仿宋" w:cs="仿宋"/>
                <w:lang w:eastAsia="zh-CN"/>
              </w:rPr>
            </w:pPr>
          </w:p>
        </w:tc>
      </w:tr>
      <w:tr w14:paraId="25D4C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4227B622">
            <w:pPr>
              <w:widowControl w:val="0"/>
              <w:kinsoku/>
              <w:adjustRightInd/>
              <w:snapToGrid/>
              <w:jc w:val="center"/>
              <w:rPr>
                <w:rFonts w:hint="eastAsia" w:ascii="仿宋" w:hAnsi="仿宋" w:eastAsia="仿宋" w:cs="仿宋"/>
                <w:lang w:eastAsia="zh-CN"/>
              </w:rPr>
            </w:pPr>
          </w:p>
        </w:tc>
        <w:tc>
          <w:tcPr>
            <w:tcW w:w="8145" w:type="dxa"/>
            <w:gridSpan w:val="11"/>
            <w:vAlign w:val="center"/>
          </w:tcPr>
          <w:p w14:paraId="088307F4">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主要编制人员</w:t>
            </w:r>
          </w:p>
        </w:tc>
      </w:tr>
      <w:tr w14:paraId="0FEFF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6EFDF05F">
            <w:pPr>
              <w:widowControl w:val="0"/>
              <w:kinsoku/>
              <w:adjustRightInd/>
              <w:snapToGrid/>
              <w:jc w:val="center"/>
              <w:rPr>
                <w:rFonts w:hint="eastAsia" w:ascii="仿宋" w:hAnsi="仿宋" w:eastAsia="仿宋" w:cs="仿宋"/>
                <w:lang w:eastAsia="zh-CN"/>
              </w:rPr>
            </w:pPr>
          </w:p>
        </w:tc>
        <w:tc>
          <w:tcPr>
            <w:tcW w:w="1160" w:type="dxa"/>
            <w:vAlign w:val="center"/>
          </w:tcPr>
          <w:p w14:paraId="1EFB5E41">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姓名</w:t>
            </w:r>
          </w:p>
        </w:tc>
        <w:tc>
          <w:tcPr>
            <w:tcW w:w="2250" w:type="dxa"/>
            <w:gridSpan w:val="2"/>
            <w:vAlign w:val="center"/>
          </w:tcPr>
          <w:p w14:paraId="2C5BB343">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身份证号</w:t>
            </w:r>
          </w:p>
        </w:tc>
        <w:tc>
          <w:tcPr>
            <w:tcW w:w="1212" w:type="dxa"/>
            <w:gridSpan w:val="2"/>
            <w:vAlign w:val="center"/>
          </w:tcPr>
          <w:p w14:paraId="54F8EE66">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专业</w:t>
            </w:r>
          </w:p>
        </w:tc>
        <w:tc>
          <w:tcPr>
            <w:tcW w:w="1296" w:type="dxa"/>
            <w:gridSpan w:val="3"/>
            <w:vAlign w:val="center"/>
          </w:tcPr>
          <w:p w14:paraId="6CDEAFD2">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职称/职务</w:t>
            </w:r>
          </w:p>
        </w:tc>
        <w:tc>
          <w:tcPr>
            <w:tcW w:w="1493" w:type="dxa"/>
            <w:gridSpan w:val="2"/>
            <w:vAlign w:val="center"/>
          </w:tcPr>
          <w:p w14:paraId="360BF34A">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联系电话</w:t>
            </w:r>
          </w:p>
        </w:tc>
        <w:tc>
          <w:tcPr>
            <w:tcW w:w="734" w:type="dxa"/>
            <w:vAlign w:val="center"/>
          </w:tcPr>
          <w:p w14:paraId="03813C39">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签名</w:t>
            </w:r>
          </w:p>
        </w:tc>
      </w:tr>
      <w:tr w14:paraId="65834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04F4B392">
            <w:pPr>
              <w:widowControl w:val="0"/>
              <w:kinsoku/>
              <w:adjustRightInd/>
              <w:snapToGrid/>
              <w:jc w:val="center"/>
              <w:rPr>
                <w:rFonts w:hint="eastAsia" w:ascii="仿宋" w:hAnsi="仿宋" w:eastAsia="仿宋" w:cs="仿宋"/>
                <w:lang w:eastAsia="zh-CN"/>
              </w:rPr>
            </w:pPr>
          </w:p>
        </w:tc>
        <w:tc>
          <w:tcPr>
            <w:tcW w:w="1160" w:type="dxa"/>
            <w:vAlign w:val="center"/>
          </w:tcPr>
          <w:p w14:paraId="3A99A661">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王君杰</w:t>
            </w:r>
          </w:p>
        </w:tc>
        <w:tc>
          <w:tcPr>
            <w:tcW w:w="2250" w:type="dxa"/>
            <w:gridSpan w:val="2"/>
            <w:vAlign w:val="center"/>
          </w:tcPr>
          <w:p w14:paraId="3390B5E0">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6205</w:t>
            </w:r>
            <w:r>
              <w:rPr>
                <w:rFonts w:hint="eastAsia" w:ascii="仿宋" w:hAnsi="仿宋" w:eastAsia="仿宋" w:cs="仿宋"/>
                <w:lang w:val="en-US" w:eastAsia="zh-CN"/>
              </w:rPr>
              <w:t>2</w:t>
            </w:r>
            <w:r>
              <w:rPr>
                <w:rFonts w:hint="eastAsia" w:ascii="仿宋" w:hAnsi="仿宋" w:eastAsia="仿宋" w:cs="仿宋"/>
                <w:lang w:eastAsia="zh-CN"/>
              </w:rPr>
              <w:t>3198</w:t>
            </w:r>
            <w:r>
              <w:rPr>
                <w:rFonts w:hint="eastAsia" w:ascii="仿宋" w:hAnsi="仿宋" w:eastAsia="仿宋" w:cs="仿宋"/>
                <w:lang w:val="en-US" w:eastAsia="zh-CN"/>
              </w:rPr>
              <w:t>9</w:t>
            </w:r>
            <w:r>
              <w:rPr>
                <w:rFonts w:hint="eastAsia" w:ascii="仿宋" w:hAnsi="仿宋" w:eastAsia="仿宋" w:cs="仿宋"/>
                <w:lang w:eastAsia="zh-CN"/>
              </w:rPr>
              <w:t>0</w:t>
            </w:r>
            <w:r>
              <w:rPr>
                <w:rFonts w:hint="eastAsia" w:ascii="仿宋" w:hAnsi="仿宋" w:eastAsia="仿宋" w:cs="仿宋"/>
                <w:lang w:val="en-US" w:eastAsia="zh-CN"/>
              </w:rPr>
              <w:t>510559</w:t>
            </w:r>
            <w:r>
              <w:rPr>
                <w:rFonts w:hint="eastAsia" w:ascii="仿宋" w:hAnsi="仿宋" w:eastAsia="仿宋" w:cs="仿宋"/>
                <w:lang w:eastAsia="zh-CN"/>
              </w:rPr>
              <w:t>x</w:t>
            </w:r>
          </w:p>
        </w:tc>
        <w:tc>
          <w:tcPr>
            <w:tcW w:w="1212" w:type="dxa"/>
            <w:gridSpan w:val="2"/>
            <w:vAlign w:val="center"/>
          </w:tcPr>
          <w:p w14:paraId="519E15A9">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地质矿产</w:t>
            </w:r>
          </w:p>
        </w:tc>
        <w:tc>
          <w:tcPr>
            <w:tcW w:w="1296" w:type="dxa"/>
            <w:gridSpan w:val="3"/>
            <w:vAlign w:val="center"/>
          </w:tcPr>
          <w:p w14:paraId="38B1D295">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工程师</w:t>
            </w:r>
          </w:p>
        </w:tc>
        <w:tc>
          <w:tcPr>
            <w:tcW w:w="1493" w:type="dxa"/>
            <w:gridSpan w:val="2"/>
            <w:vAlign w:val="center"/>
          </w:tcPr>
          <w:p w14:paraId="18E85DF8">
            <w:pPr>
              <w:widowControl w:val="0"/>
              <w:kinsoku/>
              <w:adjustRightInd/>
              <w:snapToGrid/>
              <w:jc w:val="center"/>
              <w:rPr>
                <w:rFonts w:hint="default" w:ascii="仿宋" w:hAnsi="仿宋" w:eastAsia="仿宋" w:cs="仿宋"/>
                <w:lang w:val="en-US" w:eastAsia="zh-CN"/>
              </w:rPr>
            </w:pPr>
            <w:r>
              <w:rPr>
                <w:rFonts w:hint="eastAsia" w:ascii="仿宋" w:hAnsi="仿宋" w:eastAsia="仿宋" w:cs="仿宋"/>
                <w:lang w:val="en-US" w:eastAsia="zh-CN"/>
              </w:rPr>
              <w:t>15297091886</w:t>
            </w:r>
          </w:p>
        </w:tc>
        <w:tc>
          <w:tcPr>
            <w:tcW w:w="734" w:type="dxa"/>
            <w:vAlign w:val="center"/>
          </w:tcPr>
          <w:p w14:paraId="2569C3A5">
            <w:pPr>
              <w:widowControl w:val="0"/>
              <w:kinsoku/>
              <w:adjustRightInd/>
              <w:snapToGrid/>
              <w:jc w:val="center"/>
              <w:rPr>
                <w:rFonts w:hint="eastAsia" w:ascii="仿宋" w:hAnsi="仿宋" w:eastAsia="仿宋" w:cs="仿宋"/>
                <w:lang w:eastAsia="zh-CN"/>
              </w:rPr>
            </w:pPr>
          </w:p>
        </w:tc>
      </w:tr>
      <w:tr w14:paraId="1E834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79689D15">
            <w:pPr>
              <w:widowControl w:val="0"/>
              <w:kinsoku/>
              <w:adjustRightInd/>
              <w:snapToGrid/>
              <w:jc w:val="center"/>
              <w:rPr>
                <w:rFonts w:hint="eastAsia" w:ascii="仿宋" w:hAnsi="仿宋" w:eastAsia="仿宋" w:cs="仿宋"/>
                <w:lang w:eastAsia="zh-CN"/>
              </w:rPr>
            </w:pPr>
          </w:p>
        </w:tc>
        <w:tc>
          <w:tcPr>
            <w:tcW w:w="1160" w:type="dxa"/>
            <w:vAlign w:val="center"/>
          </w:tcPr>
          <w:p w14:paraId="3D5F1B20">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毛康乐</w:t>
            </w:r>
          </w:p>
        </w:tc>
        <w:tc>
          <w:tcPr>
            <w:tcW w:w="2250" w:type="dxa"/>
            <w:gridSpan w:val="2"/>
            <w:vAlign w:val="center"/>
          </w:tcPr>
          <w:p w14:paraId="04A07511">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6</w:t>
            </w:r>
            <w:r>
              <w:rPr>
                <w:rFonts w:hint="eastAsia" w:ascii="仿宋" w:hAnsi="仿宋" w:eastAsia="仿宋" w:cs="仿宋"/>
                <w:lang w:val="en-US" w:eastAsia="zh-CN"/>
              </w:rPr>
              <w:t>20503199005245756</w:t>
            </w:r>
          </w:p>
        </w:tc>
        <w:tc>
          <w:tcPr>
            <w:tcW w:w="1212" w:type="dxa"/>
            <w:gridSpan w:val="2"/>
            <w:vAlign w:val="center"/>
          </w:tcPr>
          <w:p w14:paraId="1AB7C9DF">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地理信息</w:t>
            </w:r>
          </w:p>
        </w:tc>
        <w:tc>
          <w:tcPr>
            <w:tcW w:w="1296" w:type="dxa"/>
            <w:gridSpan w:val="3"/>
            <w:vAlign w:val="center"/>
          </w:tcPr>
          <w:p w14:paraId="17C8286F">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工程师</w:t>
            </w:r>
          </w:p>
        </w:tc>
        <w:tc>
          <w:tcPr>
            <w:tcW w:w="1493" w:type="dxa"/>
            <w:gridSpan w:val="2"/>
            <w:vAlign w:val="center"/>
          </w:tcPr>
          <w:p w14:paraId="74C3FB8B">
            <w:pPr>
              <w:widowControl w:val="0"/>
              <w:kinsoku/>
              <w:adjustRightInd/>
              <w:snapToGrid/>
              <w:jc w:val="center"/>
              <w:rPr>
                <w:rFonts w:hint="eastAsia" w:ascii="仿宋" w:hAnsi="仿宋" w:eastAsia="仿宋" w:cs="仿宋"/>
                <w:lang w:eastAsia="zh-CN"/>
              </w:rPr>
            </w:pPr>
            <w:r>
              <w:rPr>
                <w:rFonts w:hint="eastAsia" w:ascii="仿宋" w:hAnsi="仿宋" w:eastAsia="仿宋" w:cs="仿宋"/>
                <w:lang w:val="en-US" w:eastAsia="zh-CN"/>
              </w:rPr>
              <w:t>18609790681</w:t>
            </w:r>
          </w:p>
        </w:tc>
        <w:tc>
          <w:tcPr>
            <w:tcW w:w="734" w:type="dxa"/>
            <w:vAlign w:val="center"/>
          </w:tcPr>
          <w:p w14:paraId="1D95FFCE">
            <w:pPr>
              <w:widowControl w:val="0"/>
              <w:kinsoku/>
              <w:adjustRightInd/>
              <w:snapToGrid/>
              <w:jc w:val="center"/>
              <w:rPr>
                <w:rFonts w:hint="eastAsia" w:ascii="仿宋" w:hAnsi="仿宋" w:eastAsia="仿宋" w:cs="仿宋"/>
                <w:lang w:eastAsia="zh-CN"/>
              </w:rPr>
            </w:pPr>
          </w:p>
        </w:tc>
      </w:tr>
      <w:tr w14:paraId="4C38C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2C9AF8F9">
            <w:pPr>
              <w:widowControl w:val="0"/>
              <w:kinsoku/>
              <w:adjustRightInd/>
              <w:snapToGrid/>
              <w:jc w:val="center"/>
              <w:rPr>
                <w:rFonts w:hint="eastAsia" w:ascii="仿宋" w:hAnsi="仿宋" w:eastAsia="仿宋" w:cs="仿宋"/>
                <w:lang w:eastAsia="zh-CN"/>
              </w:rPr>
            </w:pPr>
          </w:p>
        </w:tc>
        <w:tc>
          <w:tcPr>
            <w:tcW w:w="1160" w:type="dxa"/>
            <w:vAlign w:val="center"/>
          </w:tcPr>
          <w:p w14:paraId="504E4571">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巩建强</w:t>
            </w:r>
          </w:p>
        </w:tc>
        <w:tc>
          <w:tcPr>
            <w:tcW w:w="2250" w:type="dxa"/>
            <w:gridSpan w:val="2"/>
            <w:vAlign w:val="center"/>
          </w:tcPr>
          <w:p w14:paraId="65CAE9D9">
            <w:pPr>
              <w:widowControl w:val="0"/>
              <w:kinsoku/>
              <w:adjustRightInd/>
              <w:snapToGrid/>
              <w:jc w:val="center"/>
              <w:rPr>
                <w:rFonts w:hint="eastAsia" w:ascii="仿宋" w:hAnsi="仿宋" w:eastAsia="仿宋" w:cs="仿宋"/>
                <w:lang w:eastAsia="zh-CN"/>
              </w:rPr>
            </w:pPr>
            <w:r>
              <w:rPr>
                <w:rFonts w:hint="eastAsia" w:ascii="仿宋" w:hAnsi="仿宋" w:eastAsia="仿宋" w:cs="仿宋"/>
                <w:lang w:val="en-US" w:eastAsia="zh-CN"/>
              </w:rPr>
              <w:t>620523198903225619</w:t>
            </w:r>
          </w:p>
        </w:tc>
        <w:tc>
          <w:tcPr>
            <w:tcW w:w="1212" w:type="dxa"/>
            <w:gridSpan w:val="2"/>
            <w:vAlign w:val="center"/>
          </w:tcPr>
          <w:p w14:paraId="347A15F4">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水工环</w:t>
            </w:r>
          </w:p>
        </w:tc>
        <w:tc>
          <w:tcPr>
            <w:tcW w:w="1296" w:type="dxa"/>
            <w:gridSpan w:val="3"/>
            <w:vAlign w:val="center"/>
          </w:tcPr>
          <w:p w14:paraId="4AA90F9A">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助理工程师</w:t>
            </w:r>
          </w:p>
        </w:tc>
        <w:tc>
          <w:tcPr>
            <w:tcW w:w="1493" w:type="dxa"/>
            <w:gridSpan w:val="2"/>
            <w:vAlign w:val="center"/>
          </w:tcPr>
          <w:p w14:paraId="52C8583E">
            <w:pPr>
              <w:widowControl w:val="0"/>
              <w:kinsoku/>
              <w:adjustRightInd/>
              <w:snapToGrid/>
              <w:jc w:val="center"/>
              <w:rPr>
                <w:rFonts w:hint="eastAsia" w:ascii="仿宋" w:hAnsi="仿宋" w:eastAsia="仿宋" w:cs="仿宋"/>
                <w:lang w:eastAsia="zh-CN"/>
              </w:rPr>
            </w:pPr>
            <w:r>
              <w:rPr>
                <w:rFonts w:hint="eastAsia" w:ascii="仿宋" w:hAnsi="仿宋" w:eastAsia="仿宋" w:cs="仿宋"/>
                <w:lang w:val="en-US" w:eastAsia="zh-CN"/>
              </w:rPr>
              <w:t>13897447675</w:t>
            </w:r>
          </w:p>
        </w:tc>
        <w:tc>
          <w:tcPr>
            <w:tcW w:w="734" w:type="dxa"/>
            <w:vAlign w:val="center"/>
          </w:tcPr>
          <w:p w14:paraId="6AEE1F6F">
            <w:pPr>
              <w:widowControl w:val="0"/>
              <w:kinsoku/>
              <w:adjustRightInd/>
              <w:snapToGrid/>
              <w:jc w:val="center"/>
              <w:rPr>
                <w:rFonts w:hint="eastAsia" w:ascii="仿宋" w:hAnsi="仿宋" w:eastAsia="仿宋" w:cs="仿宋"/>
                <w:lang w:eastAsia="zh-CN"/>
              </w:rPr>
            </w:pPr>
          </w:p>
        </w:tc>
      </w:tr>
      <w:tr w14:paraId="013BD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6" w:type="dxa"/>
            <w:vMerge w:val="continue"/>
            <w:vAlign w:val="center"/>
          </w:tcPr>
          <w:p w14:paraId="3963707C">
            <w:pPr>
              <w:widowControl w:val="0"/>
              <w:kinsoku/>
              <w:adjustRightInd/>
              <w:snapToGrid/>
              <w:jc w:val="center"/>
              <w:rPr>
                <w:rFonts w:hint="eastAsia" w:ascii="仿宋" w:hAnsi="仿宋" w:eastAsia="仿宋" w:cs="仿宋"/>
                <w:lang w:eastAsia="zh-CN"/>
              </w:rPr>
            </w:pPr>
          </w:p>
        </w:tc>
        <w:tc>
          <w:tcPr>
            <w:tcW w:w="1160" w:type="dxa"/>
            <w:vAlign w:val="center"/>
          </w:tcPr>
          <w:p w14:paraId="36DF299A">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黄瑞斌</w:t>
            </w:r>
          </w:p>
        </w:tc>
        <w:tc>
          <w:tcPr>
            <w:tcW w:w="2250" w:type="dxa"/>
            <w:gridSpan w:val="2"/>
            <w:vAlign w:val="center"/>
          </w:tcPr>
          <w:p w14:paraId="2A4BC9A5">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6</w:t>
            </w:r>
            <w:r>
              <w:rPr>
                <w:rFonts w:hint="eastAsia" w:ascii="仿宋" w:hAnsi="仿宋" w:eastAsia="仿宋" w:cs="仿宋"/>
                <w:lang w:val="en-US" w:eastAsia="zh-CN"/>
              </w:rPr>
              <w:t>20523198908105595</w:t>
            </w:r>
          </w:p>
        </w:tc>
        <w:tc>
          <w:tcPr>
            <w:tcW w:w="1212" w:type="dxa"/>
            <w:gridSpan w:val="2"/>
            <w:vAlign w:val="center"/>
          </w:tcPr>
          <w:p w14:paraId="38838A78">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环境工程</w:t>
            </w:r>
          </w:p>
        </w:tc>
        <w:tc>
          <w:tcPr>
            <w:tcW w:w="1296" w:type="dxa"/>
            <w:gridSpan w:val="3"/>
            <w:vAlign w:val="center"/>
          </w:tcPr>
          <w:p w14:paraId="2963FB08">
            <w:pPr>
              <w:widowControl w:val="0"/>
              <w:kinsoku/>
              <w:adjustRightInd/>
              <w:snapToGrid/>
              <w:jc w:val="center"/>
              <w:rPr>
                <w:rFonts w:hint="eastAsia" w:ascii="仿宋" w:hAnsi="仿宋" w:eastAsia="仿宋" w:cs="仿宋"/>
                <w:lang w:eastAsia="zh-CN"/>
              </w:rPr>
            </w:pPr>
            <w:r>
              <w:rPr>
                <w:rFonts w:hint="eastAsia" w:ascii="仿宋" w:hAnsi="仿宋" w:eastAsia="仿宋" w:cs="仿宋"/>
                <w:lang w:eastAsia="zh-CN"/>
              </w:rPr>
              <w:t>助理工程师</w:t>
            </w:r>
          </w:p>
        </w:tc>
        <w:tc>
          <w:tcPr>
            <w:tcW w:w="1493" w:type="dxa"/>
            <w:gridSpan w:val="2"/>
            <w:vAlign w:val="center"/>
          </w:tcPr>
          <w:p w14:paraId="7BA228C9">
            <w:pPr>
              <w:widowControl w:val="0"/>
              <w:kinsoku/>
              <w:adjustRightInd/>
              <w:snapToGrid/>
              <w:jc w:val="center"/>
              <w:rPr>
                <w:rFonts w:hint="eastAsia" w:ascii="仿宋" w:hAnsi="仿宋" w:eastAsia="仿宋" w:cs="仿宋"/>
                <w:lang w:eastAsia="zh-CN"/>
              </w:rPr>
            </w:pPr>
            <w:r>
              <w:rPr>
                <w:rFonts w:hint="eastAsia" w:ascii="仿宋" w:hAnsi="仿宋" w:eastAsia="仿宋" w:cs="仿宋"/>
                <w:lang w:val="en-US" w:eastAsia="zh-CN"/>
              </w:rPr>
              <w:t>19993850810</w:t>
            </w:r>
          </w:p>
        </w:tc>
        <w:tc>
          <w:tcPr>
            <w:tcW w:w="734" w:type="dxa"/>
            <w:vAlign w:val="center"/>
          </w:tcPr>
          <w:p w14:paraId="1703A0C8">
            <w:pPr>
              <w:widowControl w:val="0"/>
              <w:kinsoku/>
              <w:adjustRightInd/>
              <w:snapToGrid/>
              <w:jc w:val="center"/>
              <w:rPr>
                <w:rFonts w:hint="eastAsia" w:ascii="仿宋" w:hAnsi="仿宋" w:eastAsia="仿宋" w:cs="仿宋"/>
                <w:lang w:eastAsia="zh-CN"/>
              </w:rPr>
            </w:pPr>
          </w:p>
        </w:tc>
      </w:tr>
    </w:tbl>
    <w:p w14:paraId="2ED130AA">
      <w:pPr>
        <w:widowControl w:val="0"/>
        <w:adjustRightInd/>
        <w:snapToGrid/>
        <w:spacing w:line="360" w:lineRule="auto"/>
        <w:ind w:firstLine="960" w:firstLineChars="300"/>
        <w:jc w:val="both"/>
        <w:rPr>
          <w:rFonts w:hint="eastAsia" w:ascii="宋体" w:hAnsi="宋体" w:eastAsia="宋体" w:cs="宋体"/>
          <w:sz w:val="32"/>
          <w:szCs w:val="32"/>
          <w:lang w:eastAsia="zh-CN"/>
        </w:rPr>
        <w:sectPr>
          <w:pgSz w:w="11905" w:h="16839"/>
          <w:pgMar w:top="1440" w:right="1800" w:bottom="1440" w:left="1800" w:header="0" w:footer="0" w:gutter="0"/>
          <w:cols w:space="720" w:num="1"/>
        </w:sectPr>
      </w:pPr>
    </w:p>
    <w:sdt>
      <w:sdtPr>
        <w:rPr>
          <w:rFonts w:ascii="宋体" w:hAnsi="宋体" w:eastAsia="宋体"/>
        </w:rPr>
        <w:id w:val="147478302"/>
        <w15:color w:val="DBDBDB"/>
        <w:docPartObj>
          <w:docPartGallery w:val="Table of Contents"/>
          <w:docPartUnique/>
        </w:docPartObj>
      </w:sdtPr>
      <w:sdtEndPr>
        <w:rPr>
          <w:rFonts w:ascii="宋体" w:hAnsi="宋体" w:eastAsia="宋体"/>
        </w:rPr>
      </w:sdtEndPr>
      <w:sdtContent>
        <w:p w14:paraId="6FFAF886">
          <w:pPr>
            <w:jc w:val="center"/>
            <w:rPr>
              <w:rFonts w:ascii="宋体" w:hAnsi="宋体" w:eastAsia="宋体"/>
            </w:rPr>
          </w:pPr>
        </w:p>
        <w:p w14:paraId="7682802A">
          <w:pPr>
            <w:jc w:val="center"/>
            <w:rPr>
              <w:sz w:val="40"/>
              <w:szCs w:val="40"/>
            </w:rPr>
          </w:pPr>
          <w:r>
            <w:rPr>
              <w:rFonts w:ascii="宋体" w:hAnsi="宋体" w:eastAsia="宋体"/>
              <w:sz w:val="40"/>
              <w:szCs w:val="40"/>
            </w:rPr>
            <w:t>目</w:t>
          </w:r>
          <w:r>
            <w:rPr>
              <w:rFonts w:hint="eastAsia" w:ascii="宋体" w:hAnsi="宋体" w:eastAsia="宋体"/>
              <w:sz w:val="40"/>
              <w:szCs w:val="40"/>
              <w:lang w:eastAsia="zh-CN"/>
            </w:rPr>
            <w:t xml:space="preserve">  </w:t>
          </w:r>
          <w:r>
            <w:rPr>
              <w:rFonts w:ascii="宋体" w:hAnsi="宋体" w:eastAsia="宋体"/>
              <w:sz w:val="40"/>
              <w:szCs w:val="40"/>
            </w:rPr>
            <w:t>录</w:t>
          </w:r>
        </w:p>
        <w:p w14:paraId="077BC552">
          <w:pPr>
            <w:pStyle w:val="13"/>
            <w:widowControl w:val="0"/>
            <w:tabs>
              <w:tab w:val="right" w:leader="dot" w:pos="9071"/>
            </w:tabs>
            <w:kinsoku/>
            <w:adjustRightInd/>
            <w:snapToGrid/>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"1-3" \h \u </w:instrText>
          </w:r>
          <w:r>
            <w:rPr>
              <w:rFonts w:hint="eastAsia" w:ascii="宋体" w:hAnsi="宋体" w:eastAsia="宋体" w:cs="宋体"/>
              <w:sz w:val="24"/>
              <w:szCs w:val="24"/>
            </w:rPr>
            <w:fldChar w:fldCharType="separate"/>
          </w:r>
          <w:r>
            <w:fldChar w:fldCharType="begin"/>
          </w:r>
          <w:r>
            <w:instrText xml:space="preserve"> HYPERLINK \l "_Toc8018" </w:instrText>
          </w:r>
          <w:r>
            <w:fldChar w:fldCharType="separate"/>
          </w:r>
          <w:r>
            <w:rPr>
              <w:rFonts w:hint="eastAsia" w:ascii="宋体" w:hAnsi="宋体" w:eastAsia="宋体" w:cs="宋体"/>
              <w:b/>
              <w:bCs/>
              <w:sz w:val="24"/>
              <w:szCs w:val="24"/>
            </w:rPr>
            <w:t>前</w:t>
          </w:r>
          <w:r>
            <w:rPr>
              <w:rFonts w:hint="eastAsia" w:ascii="宋体" w:hAnsi="宋体" w:eastAsia="宋体" w:cs="宋体"/>
              <w:b/>
              <w:bCs/>
              <w:sz w:val="24"/>
              <w:szCs w:val="24"/>
              <w:lang w:eastAsia="zh-CN"/>
            </w:rPr>
            <w:t xml:space="preserve">  </w:t>
          </w:r>
          <w:r>
            <w:rPr>
              <w:rFonts w:hint="eastAsia" w:ascii="宋体" w:hAnsi="宋体" w:eastAsia="宋体" w:cs="宋体"/>
              <w:b/>
              <w:bCs/>
              <w:sz w:val="24"/>
              <w:szCs w:val="24"/>
            </w:rPr>
            <w:t>言</w:t>
          </w:r>
          <w:r>
            <w:rPr>
              <w:rFonts w:hint="eastAsia" w:ascii="宋体" w:hAnsi="宋体" w:eastAsia="宋体" w:cs="宋体"/>
              <w:b/>
              <w:bCs/>
              <w:sz w:val="24"/>
              <w:szCs w:val="24"/>
            </w:rPr>
            <w:tab/>
          </w: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PAGEREF _Toc8018 \h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1</w:t>
          </w:r>
          <w:r>
            <w:rPr>
              <w:rFonts w:hint="eastAsia" w:ascii="宋体" w:hAnsi="宋体" w:eastAsia="宋体" w:cs="宋体"/>
              <w:b/>
              <w:bCs/>
              <w:sz w:val="24"/>
              <w:szCs w:val="24"/>
            </w:rPr>
            <w:fldChar w:fldCharType="end"/>
          </w:r>
          <w:r>
            <w:rPr>
              <w:rFonts w:hint="eastAsia" w:ascii="宋体" w:hAnsi="宋体" w:eastAsia="宋体" w:cs="宋体"/>
              <w:b/>
              <w:bCs/>
              <w:sz w:val="24"/>
              <w:szCs w:val="24"/>
            </w:rPr>
            <w:fldChar w:fldCharType="end"/>
          </w:r>
        </w:p>
        <w:p w14:paraId="324D8A38">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"_Toc10721" </w:instrText>
          </w:r>
          <w:r>
            <w:fldChar w:fldCharType="separate"/>
          </w:r>
          <w:r>
            <w:rPr>
              <w:rFonts w:hint="eastAsia" w:ascii="宋体" w:hAnsi="宋体" w:eastAsia="宋体" w:cs="宋体"/>
              <w:sz w:val="24"/>
              <w:szCs w:val="24"/>
              <w:lang w:eastAsia="zh-CN"/>
            </w:rPr>
            <w:t>一、</w:t>
          </w:r>
          <w:r>
            <w:rPr>
              <w:rFonts w:hint="eastAsia" w:ascii="宋体" w:hAnsi="宋体" w:eastAsia="宋体" w:cs="宋体"/>
              <w:sz w:val="24"/>
              <w:szCs w:val="24"/>
            </w:rPr>
            <w:t>编制背景</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_Toc10721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3BC5F5B">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"_Toc31017" </w:instrText>
          </w:r>
          <w:r>
            <w:fldChar w:fldCharType="separate"/>
          </w:r>
          <w:r>
            <w:rPr>
              <w:rFonts w:hint="eastAsia" w:ascii="宋体" w:hAnsi="宋体" w:eastAsia="宋体" w:cs="宋体"/>
              <w:sz w:val="24"/>
              <w:szCs w:val="24"/>
              <w:lang w:eastAsia="zh-CN"/>
            </w:rPr>
            <w:t>二、方案适用年限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_Toc31017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CA31E2B">
          <w:pPr>
            <w:pStyle w:val="13"/>
            <w:widowControl w:val="0"/>
            <w:tabs>
              <w:tab w:val="right" w:leader="dot" w:pos="9071"/>
            </w:tabs>
            <w:kinsoku/>
            <w:adjustRightInd/>
            <w:snapToGrid/>
            <w:spacing w:line="360" w:lineRule="auto"/>
            <w:rPr>
              <w:rFonts w:hint="eastAsia" w:ascii="宋体" w:hAnsi="宋体" w:eastAsia="宋体" w:cs="宋体"/>
              <w:sz w:val="24"/>
              <w:szCs w:val="24"/>
            </w:rPr>
          </w:pPr>
          <w:r>
            <w:fldChar w:fldCharType="begin"/>
          </w:r>
          <w:r>
            <w:instrText xml:space="preserve"> HYPERLINK \l "_Toc26651" </w:instrText>
          </w:r>
          <w:r>
            <w:fldChar w:fldCharType="separate"/>
          </w:r>
          <w:r>
            <w:rPr>
              <w:rFonts w:hint="eastAsia" w:ascii="宋体" w:hAnsi="宋体" w:eastAsia="宋体" w:cs="宋体"/>
              <w:b/>
              <w:bCs/>
              <w:sz w:val="24"/>
              <w:szCs w:val="24"/>
            </w:rPr>
            <w:t>第一章</w:t>
          </w:r>
          <w:r>
            <w:rPr>
              <w:rFonts w:hint="eastAsia" w:ascii="宋体" w:hAnsi="宋体" w:eastAsia="宋体" w:cs="宋体"/>
              <w:b/>
              <w:bCs/>
              <w:sz w:val="24"/>
              <w:szCs w:val="24"/>
              <w:lang w:eastAsia="zh-CN"/>
            </w:rPr>
            <w:t xml:space="preserve"> </w:t>
          </w:r>
          <w:r>
            <w:rPr>
              <w:rFonts w:hint="eastAsia" w:ascii="宋体" w:hAnsi="宋体" w:eastAsia="宋体" w:cs="宋体"/>
              <w:b/>
              <w:bCs/>
              <w:sz w:val="24"/>
              <w:szCs w:val="24"/>
            </w:rPr>
            <w:t>矿山基本情况</w:t>
          </w:r>
          <w:r>
            <w:rPr>
              <w:rFonts w:hint="eastAsia" w:ascii="宋体" w:hAnsi="宋体" w:eastAsia="宋体" w:cs="宋体"/>
              <w:b/>
              <w:bCs/>
              <w:sz w:val="24"/>
              <w:szCs w:val="24"/>
            </w:rPr>
            <w:tab/>
          </w: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PAGEREF _Toc26651 \h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10</w:t>
          </w:r>
          <w:r>
            <w:rPr>
              <w:rFonts w:hint="eastAsia" w:ascii="宋体" w:hAnsi="宋体" w:eastAsia="宋体" w:cs="宋体"/>
              <w:b/>
              <w:bCs/>
              <w:sz w:val="24"/>
              <w:szCs w:val="24"/>
            </w:rPr>
            <w:fldChar w:fldCharType="end"/>
          </w:r>
          <w:r>
            <w:rPr>
              <w:rFonts w:hint="eastAsia" w:ascii="宋体" w:hAnsi="宋体" w:eastAsia="宋体" w:cs="宋体"/>
              <w:b/>
              <w:bCs/>
              <w:sz w:val="24"/>
              <w:szCs w:val="24"/>
            </w:rPr>
            <w:fldChar w:fldCharType="end"/>
          </w:r>
        </w:p>
        <w:p w14:paraId="28C937FB">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"_Toc28004" </w:instrText>
          </w:r>
          <w:r>
            <w:fldChar w:fldCharType="separate"/>
          </w:r>
          <w:r>
            <w:rPr>
              <w:rFonts w:hint="eastAsia" w:ascii="宋体" w:hAnsi="宋体" w:eastAsia="宋体" w:cs="宋体"/>
              <w:sz w:val="24"/>
              <w:szCs w:val="24"/>
              <w:lang w:eastAsia="zh-CN"/>
            </w:rPr>
            <w:t>一、矿业权人基本情况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_Toc28004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A75624A">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"_Toc2974" </w:instrText>
          </w:r>
          <w:r>
            <w:fldChar w:fldCharType="separate"/>
          </w:r>
          <w:r>
            <w:rPr>
              <w:rFonts w:hint="eastAsia" w:ascii="宋体" w:hAnsi="宋体" w:eastAsia="宋体" w:cs="宋体"/>
              <w:sz w:val="24"/>
              <w:szCs w:val="24"/>
              <w:lang w:eastAsia="zh-CN"/>
            </w:rPr>
            <w:t>二、地理位置与区域概况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_Toc2974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4487D03">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"_Toc31072" </w:instrText>
          </w:r>
          <w:r>
            <w:fldChar w:fldCharType="separate"/>
          </w:r>
          <w:r>
            <w:rPr>
              <w:rFonts w:hint="eastAsia" w:ascii="宋体" w:hAnsi="宋体" w:eastAsia="宋体" w:cs="宋体"/>
              <w:sz w:val="24"/>
              <w:szCs w:val="24"/>
              <w:lang w:eastAsia="zh-CN"/>
            </w:rPr>
            <w:t>三、矿山开采历史及现状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_Toc31072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3BF0A48C">
          <w:pPr>
            <w:pStyle w:val="13"/>
            <w:widowControl w:val="0"/>
            <w:tabs>
              <w:tab w:val="right" w:leader="dot" w:pos="9071"/>
            </w:tabs>
            <w:kinsoku/>
            <w:adjustRightInd/>
            <w:snapToGrid/>
            <w:spacing w:line="360" w:lineRule="auto"/>
            <w:rPr>
              <w:rFonts w:hint="eastAsia" w:ascii="宋体" w:hAnsi="宋体" w:eastAsia="宋体" w:cs="宋体"/>
              <w:b/>
              <w:bCs/>
              <w:sz w:val="24"/>
              <w:szCs w:val="24"/>
            </w:rPr>
          </w:pPr>
          <w:r>
            <w:fldChar w:fldCharType="begin"/>
          </w:r>
          <w:r>
            <w:instrText xml:space="preserve"> HYPERLINK \l "_Toc30831" </w:instrText>
          </w:r>
          <w:r>
            <w:fldChar w:fldCharType="separate"/>
          </w:r>
          <w:r>
            <w:rPr>
              <w:rFonts w:hint="eastAsia" w:ascii="宋体" w:hAnsi="宋体" w:eastAsia="宋体" w:cs="宋体"/>
              <w:b/>
              <w:bCs/>
              <w:sz w:val="24"/>
              <w:szCs w:val="24"/>
            </w:rPr>
            <w:t>第二章</w:t>
          </w:r>
          <w:r>
            <w:rPr>
              <w:rFonts w:hint="eastAsia" w:ascii="宋体" w:hAnsi="宋体" w:eastAsia="宋体" w:cs="宋体"/>
              <w:b/>
              <w:bCs/>
              <w:sz w:val="24"/>
              <w:szCs w:val="24"/>
              <w:lang w:eastAsia="zh-CN"/>
            </w:rPr>
            <w:t xml:space="preserve"> </w:t>
          </w:r>
          <w:r>
            <w:rPr>
              <w:rFonts w:hint="eastAsia" w:ascii="宋体" w:hAnsi="宋体" w:eastAsia="宋体" w:cs="宋体"/>
              <w:b/>
              <w:bCs/>
              <w:sz w:val="24"/>
              <w:szCs w:val="24"/>
            </w:rPr>
            <w:t>矿区基础信息</w:t>
          </w:r>
          <w:r>
            <w:rPr>
              <w:rFonts w:hint="eastAsia" w:ascii="宋体" w:hAnsi="宋体" w:eastAsia="宋体" w:cs="宋体"/>
              <w:b/>
              <w:bCs/>
              <w:sz w:val="24"/>
              <w:szCs w:val="24"/>
            </w:rPr>
            <w:tab/>
          </w: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PAGEREF _Toc30831 \h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16</w:t>
          </w:r>
          <w:r>
            <w:rPr>
              <w:rFonts w:hint="eastAsia" w:ascii="宋体" w:hAnsi="宋体" w:eastAsia="宋体" w:cs="宋体"/>
              <w:b/>
              <w:bCs/>
              <w:sz w:val="24"/>
              <w:szCs w:val="24"/>
            </w:rPr>
            <w:fldChar w:fldCharType="end"/>
          </w:r>
          <w:r>
            <w:rPr>
              <w:rFonts w:hint="eastAsia" w:ascii="宋体" w:hAnsi="宋体" w:eastAsia="宋体" w:cs="宋体"/>
              <w:b/>
              <w:bCs/>
              <w:sz w:val="24"/>
              <w:szCs w:val="24"/>
            </w:rPr>
            <w:fldChar w:fldCharType="end"/>
          </w:r>
        </w:p>
        <w:p w14:paraId="19E55B24">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"_Toc729" </w:instrText>
          </w:r>
          <w:r>
            <w:fldChar w:fldCharType="separate"/>
          </w:r>
          <w:r>
            <w:rPr>
              <w:rFonts w:hint="eastAsia" w:ascii="宋体" w:hAnsi="宋体" w:eastAsia="宋体" w:cs="宋体"/>
              <w:sz w:val="24"/>
              <w:szCs w:val="24"/>
              <w:lang w:eastAsia="zh-CN"/>
            </w:rPr>
            <w:t>一、矿区自然条件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_Toc729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EE6241C">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"_Toc960" </w:instrText>
          </w:r>
          <w:r>
            <w:fldChar w:fldCharType="separate"/>
          </w:r>
          <w:r>
            <w:rPr>
              <w:rFonts w:hint="eastAsia" w:ascii="宋体" w:hAnsi="宋体" w:eastAsia="宋体" w:cs="宋体"/>
              <w:sz w:val="24"/>
              <w:szCs w:val="24"/>
              <w:lang w:eastAsia="zh-CN"/>
            </w:rPr>
            <w:t>二、社会经济概况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_Toc960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2E040A35">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"_Toc18059" </w:instrText>
          </w:r>
          <w:r>
            <w:fldChar w:fldCharType="separate"/>
          </w:r>
          <w:r>
            <w:rPr>
              <w:rFonts w:hint="eastAsia" w:ascii="宋体" w:hAnsi="宋体" w:eastAsia="宋体" w:cs="宋体"/>
              <w:sz w:val="24"/>
              <w:szCs w:val="24"/>
              <w:lang w:eastAsia="zh-CN"/>
            </w:rPr>
            <w:t>三、矿区地质环境背景</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_Toc18059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C086A65">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"_Toc20902" </w:instrText>
          </w:r>
          <w:r>
            <w:fldChar w:fldCharType="separate"/>
          </w:r>
          <w:r>
            <w:rPr>
              <w:rFonts w:hint="eastAsia" w:ascii="宋体" w:hAnsi="宋体" w:eastAsia="宋体" w:cs="宋体"/>
              <w:sz w:val="24"/>
              <w:szCs w:val="24"/>
              <w:lang w:eastAsia="zh-CN"/>
            </w:rPr>
            <w:t>四、矿区土地利用现状及采矿用地审批情况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_Toc20902 \h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9E6880D">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"_Toc27885" </w:instrText>
          </w:r>
          <w:r>
            <w:fldChar w:fldCharType="separate"/>
          </w:r>
          <w:r>
            <w:rPr>
              <w:rFonts w:hint="eastAsia" w:ascii="宋体" w:hAnsi="宋体" w:eastAsia="宋体" w:cs="宋体"/>
              <w:sz w:val="24"/>
              <w:szCs w:val="24"/>
              <w:lang w:eastAsia="zh-CN"/>
            </w:rPr>
            <w:t>五、矿区生态状况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_Toc27885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3BFE08CE">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"_Toc21300" </w:instrText>
          </w:r>
          <w:r>
            <w:fldChar w:fldCharType="separate"/>
          </w:r>
          <w:r>
            <w:rPr>
              <w:rFonts w:hint="eastAsia" w:ascii="宋体" w:hAnsi="宋体" w:eastAsia="宋体" w:cs="宋体"/>
              <w:sz w:val="24"/>
              <w:szCs w:val="24"/>
              <w:lang w:eastAsia="zh-CN"/>
            </w:rPr>
            <w:t>六、矿区及周边人类工程活动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_Toc21300 \h </w:instrText>
          </w:r>
          <w:r>
            <w:rPr>
              <w:rFonts w:hint="eastAsia" w:ascii="宋体" w:hAnsi="宋体" w:eastAsia="宋体" w:cs="宋体"/>
              <w:sz w:val="24"/>
              <w:szCs w:val="24"/>
            </w:rPr>
            <w:fldChar w:fldCharType="separate"/>
          </w:r>
          <w:r>
            <w:rPr>
              <w:rFonts w:hint="eastAsia" w:ascii="宋体" w:hAnsi="宋体" w:eastAsia="宋体" w:cs="宋体"/>
              <w:sz w:val="24"/>
              <w:szCs w:val="24"/>
            </w:rPr>
            <w:t>25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BA49583">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"_Toc2487" </w:instrText>
          </w:r>
          <w:r>
            <w:fldChar w:fldCharType="separate"/>
          </w:r>
          <w:r>
            <w:rPr>
              <w:rFonts w:hint="eastAsia" w:ascii="宋体" w:hAnsi="宋体" w:eastAsia="宋体" w:cs="宋体"/>
              <w:sz w:val="24"/>
              <w:szCs w:val="24"/>
              <w:lang w:eastAsia="zh-CN"/>
            </w:rPr>
            <w:t>七、矿区生态修复工作情况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_Toc2487 \h </w:instrText>
          </w:r>
          <w:r>
            <w:rPr>
              <w:rFonts w:hint="eastAsia" w:ascii="宋体" w:hAnsi="宋体" w:eastAsia="宋体" w:cs="宋体"/>
              <w:sz w:val="24"/>
              <w:szCs w:val="24"/>
            </w:rPr>
            <w:fldChar w:fldCharType="separate"/>
          </w:r>
          <w:r>
            <w:rPr>
              <w:rFonts w:hint="eastAsia" w:ascii="宋体" w:hAnsi="宋体" w:eastAsia="宋体" w:cs="宋体"/>
              <w:sz w:val="24"/>
              <w:szCs w:val="24"/>
            </w:rPr>
            <w:t>25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40891CB">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"_Toc27012" </w:instrText>
          </w:r>
          <w:r>
            <w:fldChar w:fldCharType="separate"/>
          </w:r>
          <w:r>
            <w:rPr>
              <w:rFonts w:hint="eastAsia" w:ascii="宋体" w:hAnsi="宋体" w:eastAsia="宋体" w:cs="宋体"/>
              <w:sz w:val="24"/>
              <w:szCs w:val="24"/>
              <w:lang w:eastAsia="zh-CN"/>
            </w:rPr>
            <w:t>八、矿区基本情况调查监测指标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_Toc27012 \h </w:instrText>
          </w:r>
          <w:r>
            <w:rPr>
              <w:rFonts w:hint="eastAsia" w:ascii="宋体" w:hAnsi="宋体" w:eastAsia="宋体" w:cs="宋体"/>
              <w:sz w:val="24"/>
              <w:szCs w:val="24"/>
            </w:rPr>
            <w:fldChar w:fldCharType="separate"/>
          </w:r>
          <w:r>
            <w:rPr>
              <w:rFonts w:hint="eastAsia" w:ascii="宋体" w:hAnsi="宋体" w:eastAsia="宋体" w:cs="宋体"/>
              <w:sz w:val="24"/>
              <w:szCs w:val="24"/>
            </w:rPr>
            <w:t>25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27CDCC00">
          <w:pPr>
            <w:pStyle w:val="13"/>
            <w:widowControl w:val="0"/>
            <w:tabs>
              <w:tab w:val="right" w:leader="dot" w:pos="9071"/>
            </w:tabs>
            <w:kinsoku/>
            <w:adjustRightInd/>
            <w:snapToGrid/>
            <w:spacing w:line="360" w:lineRule="auto"/>
            <w:rPr>
              <w:rFonts w:hint="eastAsia" w:ascii="宋体" w:hAnsi="宋体" w:eastAsia="宋体" w:cs="宋体"/>
              <w:sz w:val="24"/>
              <w:szCs w:val="24"/>
            </w:rPr>
          </w:pPr>
          <w:r>
            <w:fldChar w:fldCharType="begin"/>
          </w:r>
          <w:r>
            <w:instrText xml:space="preserve"> HYPERLINK \l "_Toc25549" </w:instrText>
          </w:r>
          <w:r>
            <w:fldChar w:fldCharType="separate"/>
          </w:r>
          <w:r>
            <w:rPr>
              <w:rFonts w:hint="eastAsia" w:ascii="宋体" w:hAnsi="宋体" w:eastAsia="宋体" w:cs="宋体"/>
              <w:b/>
              <w:bCs/>
              <w:sz w:val="24"/>
              <w:szCs w:val="24"/>
            </w:rPr>
            <w:t>第三章</w:t>
          </w:r>
          <w:r>
            <w:rPr>
              <w:rFonts w:hint="eastAsia" w:ascii="宋体" w:hAnsi="宋体" w:eastAsia="宋体" w:cs="宋体"/>
              <w:b/>
              <w:bCs/>
              <w:sz w:val="24"/>
              <w:szCs w:val="24"/>
              <w:lang w:eastAsia="zh-CN"/>
            </w:rPr>
            <w:t xml:space="preserve"> </w:t>
          </w:r>
          <w:r>
            <w:rPr>
              <w:rFonts w:hint="eastAsia" w:ascii="宋体" w:hAnsi="宋体" w:eastAsia="宋体" w:cs="宋体"/>
              <w:b/>
              <w:bCs/>
              <w:sz w:val="24"/>
              <w:szCs w:val="24"/>
            </w:rPr>
            <w:t>问题识别诊断</w:t>
          </w:r>
          <w:r>
            <w:rPr>
              <w:rFonts w:hint="eastAsia" w:ascii="宋体" w:hAnsi="宋体" w:eastAsia="宋体" w:cs="宋体"/>
              <w:b/>
              <w:bCs/>
              <w:sz w:val="24"/>
              <w:szCs w:val="24"/>
              <w:lang w:eastAsia="zh-CN"/>
            </w:rPr>
            <w:t>及修复可行性分析</w:t>
          </w:r>
          <w:r>
            <w:rPr>
              <w:rFonts w:hint="eastAsia" w:ascii="宋体" w:hAnsi="宋体" w:eastAsia="宋体" w:cs="宋体"/>
              <w:b/>
              <w:bCs/>
              <w:sz w:val="24"/>
              <w:szCs w:val="24"/>
            </w:rPr>
            <w:tab/>
          </w: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PAGEREF _Toc25549 \h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27</w:t>
          </w:r>
          <w:r>
            <w:rPr>
              <w:rFonts w:hint="eastAsia" w:ascii="宋体" w:hAnsi="宋体" w:eastAsia="宋体" w:cs="宋体"/>
              <w:b/>
              <w:bCs/>
              <w:sz w:val="24"/>
              <w:szCs w:val="24"/>
            </w:rPr>
            <w:fldChar w:fldCharType="end"/>
          </w:r>
          <w:r>
            <w:rPr>
              <w:rFonts w:hint="eastAsia" w:ascii="宋体" w:hAnsi="宋体" w:eastAsia="宋体" w:cs="宋体"/>
              <w:b/>
              <w:bCs/>
              <w:sz w:val="24"/>
              <w:szCs w:val="24"/>
            </w:rPr>
            <w:fldChar w:fldCharType="end"/>
          </w:r>
        </w:p>
        <w:p w14:paraId="1D17D8C5">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"_Toc31954" </w:instrText>
          </w:r>
          <w:r>
            <w:fldChar w:fldCharType="separate"/>
          </w:r>
          <w:r>
            <w:rPr>
              <w:rFonts w:hint="eastAsia" w:ascii="宋体" w:hAnsi="宋体" w:eastAsia="宋体" w:cs="宋体"/>
              <w:sz w:val="24"/>
              <w:szCs w:val="24"/>
              <w:lang w:eastAsia="zh-CN"/>
            </w:rPr>
            <w:t>一、问题识别与受损预测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_Toc31954 \h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36E3BCF5">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"_Toc32343" </w:instrText>
          </w:r>
          <w:r>
            <w:fldChar w:fldCharType="separate"/>
          </w:r>
          <w:r>
            <w:rPr>
              <w:rFonts w:hint="eastAsia" w:ascii="宋体" w:hAnsi="宋体" w:eastAsia="宋体" w:cs="宋体"/>
              <w:sz w:val="24"/>
              <w:szCs w:val="24"/>
              <w:lang w:eastAsia="zh-CN"/>
            </w:rPr>
            <w:t>二、生态修复可行性分析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_Toc32343 \h </w:instrText>
          </w:r>
          <w:r>
            <w:rPr>
              <w:rFonts w:hint="eastAsia" w:ascii="宋体" w:hAnsi="宋体" w:eastAsia="宋体" w:cs="宋体"/>
              <w:sz w:val="24"/>
              <w:szCs w:val="24"/>
            </w:rPr>
            <w:fldChar w:fldCharType="separate"/>
          </w:r>
          <w:r>
            <w:rPr>
              <w:rFonts w:hint="eastAsia" w:ascii="宋体" w:hAnsi="宋体" w:eastAsia="宋体" w:cs="宋体"/>
              <w:sz w:val="24"/>
              <w:szCs w:val="24"/>
            </w:rPr>
            <w:t>44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9D4D01B">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"_Toc9956" </w:instrText>
          </w:r>
          <w:r>
            <w:fldChar w:fldCharType="separate"/>
          </w:r>
          <w:r>
            <w:rPr>
              <w:rFonts w:hint="eastAsia" w:ascii="宋体" w:hAnsi="宋体" w:eastAsia="宋体" w:cs="宋体"/>
              <w:sz w:val="24"/>
              <w:szCs w:val="24"/>
              <w:lang w:eastAsia="zh-CN"/>
            </w:rPr>
            <w:t>三、生态修复分区及修复时序安排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_Toc9956 \h </w:instrText>
          </w:r>
          <w:r>
            <w:rPr>
              <w:rFonts w:hint="eastAsia" w:ascii="宋体" w:hAnsi="宋体" w:eastAsia="宋体" w:cs="宋体"/>
              <w:sz w:val="24"/>
              <w:szCs w:val="24"/>
            </w:rPr>
            <w:fldChar w:fldCharType="separate"/>
          </w:r>
          <w:r>
            <w:rPr>
              <w:rFonts w:hint="eastAsia" w:ascii="宋体" w:hAnsi="宋体" w:eastAsia="宋体" w:cs="宋体"/>
              <w:sz w:val="24"/>
              <w:szCs w:val="24"/>
            </w:rPr>
            <w:t>54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4407220">
          <w:pPr>
            <w:pStyle w:val="13"/>
            <w:widowControl w:val="0"/>
            <w:tabs>
              <w:tab w:val="right" w:leader="dot" w:pos="9071"/>
            </w:tabs>
            <w:kinsoku/>
            <w:adjustRightInd/>
            <w:snapToGrid/>
            <w:spacing w:line="360" w:lineRule="auto"/>
            <w:rPr>
              <w:rFonts w:hint="eastAsia" w:ascii="宋体" w:hAnsi="宋体" w:eastAsia="宋体" w:cs="宋体"/>
              <w:sz w:val="24"/>
              <w:szCs w:val="24"/>
            </w:rPr>
          </w:pPr>
          <w:r>
            <w:fldChar w:fldCharType="begin"/>
          </w:r>
          <w:r>
            <w:instrText xml:space="preserve"> HYPERLINK \l "_Toc29074" </w:instrText>
          </w:r>
          <w:r>
            <w:fldChar w:fldCharType="separate"/>
          </w:r>
          <w:r>
            <w:rPr>
              <w:rFonts w:hint="eastAsia" w:ascii="宋体" w:hAnsi="宋体" w:eastAsia="宋体" w:cs="宋体"/>
              <w:b/>
              <w:bCs/>
              <w:sz w:val="24"/>
              <w:szCs w:val="24"/>
            </w:rPr>
            <w:t>第</w:t>
          </w:r>
          <w:r>
            <w:rPr>
              <w:rFonts w:hint="eastAsia" w:ascii="宋体" w:hAnsi="宋体" w:eastAsia="宋体" w:cs="宋体"/>
              <w:b/>
              <w:bCs/>
              <w:sz w:val="24"/>
              <w:szCs w:val="24"/>
              <w:lang w:eastAsia="zh-CN"/>
            </w:rPr>
            <w:t>四</w:t>
          </w:r>
          <w:r>
            <w:rPr>
              <w:rFonts w:hint="eastAsia" w:ascii="宋体" w:hAnsi="宋体" w:eastAsia="宋体" w:cs="宋体"/>
              <w:b/>
              <w:bCs/>
              <w:sz w:val="24"/>
              <w:szCs w:val="24"/>
            </w:rPr>
            <w:t>章</w:t>
          </w:r>
          <w:r>
            <w:rPr>
              <w:rFonts w:hint="eastAsia" w:ascii="宋体" w:hAnsi="宋体" w:eastAsia="宋体" w:cs="宋体"/>
              <w:b/>
              <w:bCs/>
              <w:sz w:val="24"/>
              <w:szCs w:val="24"/>
              <w:lang w:eastAsia="zh-CN"/>
            </w:rPr>
            <w:t xml:space="preserve"> </w:t>
          </w:r>
          <w:r>
            <w:rPr>
              <w:rFonts w:hint="eastAsia" w:ascii="宋体" w:hAnsi="宋体" w:eastAsia="宋体" w:cs="宋体"/>
              <w:b/>
              <w:bCs/>
              <w:sz w:val="24"/>
              <w:szCs w:val="24"/>
            </w:rPr>
            <w:t>矿区生态修复措施与工程</w:t>
          </w:r>
          <w:r>
            <w:rPr>
              <w:rFonts w:hint="eastAsia" w:ascii="宋体" w:hAnsi="宋体" w:eastAsia="宋体" w:cs="宋体"/>
              <w:b/>
              <w:bCs/>
              <w:sz w:val="24"/>
              <w:szCs w:val="24"/>
              <w:lang w:eastAsia="zh-CN"/>
            </w:rPr>
            <w:t>内容</w:t>
          </w:r>
          <w:r>
            <w:rPr>
              <w:rFonts w:hint="eastAsia" w:ascii="宋体" w:hAnsi="宋体" w:eastAsia="宋体" w:cs="宋体"/>
              <w:b/>
              <w:bCs/>
              <w:sz w:val="24"/>
              <w:szCs w:val="24"/>
            </w:rPr>
            <w:tab/>
          </w: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PAGEREF _Toc29074 \h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57</w:t>
          </w:r>
          <w:r>
            <w:rPr>
              <w:rFonts w:hint="eastAsia" w:ascii="宋体" w:hAnsi="宋体" w:eastAsia="宋体" w:cs="宋体"/>
              <w:b/>
              <w:bCs/>
              <w:sz w:val="24"/>
              <w:szCs w:val="24"/>
            </w:rPr>
            <w:fldChar w:fldCharType="end"/>
          </w:r>
          <w:r>
            <w:rPr>
              <w:rFonts w:hint="eastAsia" w:ascii="宋体" w:hAnsi="宋体" w:eastAsia="宋体" w:cs="宋体"/>
              <w:b/>
              <w:bCs/>
              <w:sz w:val="24"/>
              <w:szCs w:val="24"/>
            </w:rPr>
            <w:fldChar w:fldCharType="end"/>
          </w:r>
        </w:p>
        <w:p w14:paraId="4767190E">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"_Toc13775" </w:instrText>
          </w:r>
          <w:r>
            <w:fldChar w:fldCharType="separate"/>
          </w:r>
          <w:r>
            <w:rPr>
              <w:rFonts w:hint="eastAsia" w:ascii="宋体" w:hAnsi="宋体" w:eastAsia="宋体" w:cs="宋体"/>
              <w:sz w:val="24"/>
              <w:szCs w:val="24"/>
              <w:lang w:eastAsia="zh-CN"/>
            </w:rPr>
            <w:t>一、生态保护与预防控制措施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_Toc13775 \h </w:instrText>
          </w:r>
          <w:r>
            <w:rPr>
              <w:rFonts w:hint="eastAsia" w:ascii="宋体" w:hAnsi="宋体" w:eastAsia="宋体" w:cs="宋体"/>
              <w:sz w:val="24"/>
              <w:szCs w:val="24"/>
            </w:rPr>
            <w:fldChar w:fldCharType="separate"/>
          </w:r>
          <w:r>
            <w:rPr>
              <w:rFonts w:hint="eastAsia" w:ascii="宋体" w:hAnsi="宋体" w:eastAsia="宋体" w:cs="宋体"/>
              <w:sz w:val="24"/>
              <w:szCs w:val="24"/>
            </w:rPr>
            <w:t>57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9390959">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"_Toc31197" </w:instrText>
          </w:r>
          <w:r>
            <w:fldChar w:fldCharType="separate"/>
          </w:r>
          <w:r>
            <w:rPr>
              <w:rFonts w:hint="eastAsia" w:ascii="宋体" w:hAnsi="宋体" w:eastAsia="宋体" w:cs="宋体"/>
              <w:sz w:val="24"/>
              <w:szCs w:val="24"/>
              <w:lang w:eastAsia="zh-CN"/>
            </w:rPr>
            <w:t>二、生态修复措施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_Toc31197 \h </w:instrText>
          </w:r>
          <w:r>
            <w:rPr>
              <w:rFonts w:hint="eastAsia" w:ascii="宋体" w:hAnsi="宋体" w:eastAsia="宋体" w:cs="宋体"/>
              <w:sz w:val="24"/>
              <w:szCs w:val="24"/>
            </w:rPr>
            <w:fldChar w:fldCharType="separate"/>
          </w:r>
          <w:r>
            <w:rPr>
              <w:rFonts w:hint="eastAsia" w:ascii="宋体" w:hAnsi="宋体" w:eastAsia="宋体" w:cs="宋体"/>
              <w:sz w:val="24"/>
              <w:szCs w:val="24"/>
            </w:rPr>
            <w:t>60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7C287E4F">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"_Toc22749" </w:instrText>
          </w:r>
          <w:r>
            <w:fldChar w:fldCharType="separate"/>
          </w:r>
          <w:r>
            <w:rPr>
              <w:rFonts w:hint="eastAsia" w:ascii="宋体" w:hAnsi="宋体" w:eastAsia="宋体" w:cs="宋体"/>
              <w:sz w:val="24"/>
              <w:szCs w:val="24"/>
              <w:lang w:eastAsia="zh-CN"/>
            </w:rPr>
            <w:t>三、工程内容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_Toc22749 \h </w:instrText>
          </w:r>
          <w:r>
            <w:rPr>
              <w:rFonts w:hint="eastAsia" w:ascii="宋体" w:hAnsi="宋体" w:eastAsia="宋体" w:cs="宋体"/>
              <w:sz w:val="24"/>
              <w:szCs w:val="24"/>
            </w:rPr>
            <w:fldChar w:fldCharType="separate"/>
          </w:r>
          <w:r>
            <w:rPr>
              <w:rFonts w:hint="eastAsia" w:ascii="宋体" w:hAnsi="宋体" w:eastAsia="宋体" w:cs="宋体"/>
              <w:sz w:val="24"/>
              <w:szCs w:val="24"/>
            </w:rPr>
            <w:t>62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38829AE1">
          <w:pPr>
            <w:pStyle w:val="13"/>
            <w:widowControl w:val="0"/>
            <w:tabs>
              <w:tab w:val="right" w:leader="dot" w:pos="9071"/>
            </w:tabs>
            <w:kinsoku/>
            <w:adjustRightInd/>
            <w:snapToGrid/>
            <w:spacing w:line="360" w:lineRule="auto"/>
            <w:rPr>
              <w:rFonts w:hint="eastAsia" w:ascii="宋体" w:hAnsi="宋体" w:eastAsia="宋体" w:cs="宋体"/>
              <w:sz w:val="24"/>
              <w:szCs w:val="24"/>
            </w:rPr>
          </w:pPr>
          <w:r>
            <w:fldChar w:fldCharType="begin"/>
          </w:r>
          <w:r>
            <w:instrText xml:space="preserve"> HYPERLINK \l "_Toc30759" </w:instrText>
          </w:r>
          <w:r>
            <w:fldChar w:fldCharType="separate"/>
          </w:r>
          <w:r>
            <w:rPr>
              <w:rFonts w:hint="eastAsia" w:ascii="宋体" w:hAnsi="宋体" w:eastAsia="宋体" w:cs="宋体"/>
              <w:b/>
              <w:bCs/>
              <w:sz w:val="24"/>
              <w:szCs w:val="24"/>
            </w:rPr>
            <w:t>第</w:t>
          </w:r>
          <w:r>
            <w:rPr>
              <w:rFonts w:hint="eastAsia" w:ascii="宋体" w:hAnsi="宋体" w:eastAsia="宋体" w:cs="宋体"/>
              <w:b/>
              <w:bCs/>
              <w:sz w:val="24"/>
              <w:szCs w:val="24"/>
              <w:lang w:eastAsia="zh-CN"/>
            </w:rPr>
            <w:t>五</w:t>
          </w:r>
          <w:r>
            <w:rPr>
              <w:rFonts w:hint="eastAsia" w:ascii="宋体" w:hAnsi="宋体" w:eastAsia="宋体" w:cs="宋体"/>
              <w:b/>
              <w:bCs/>
              <w:sz w:val="24"/>
              <w:szCs w:val="24"/>
            </w:rPr>
            <w:t>章</w:t>
          </w:r>
          <w:r>
            <w:rPr>
              <w:rFonts w:hint="eastAsia" w:ascii="宋体" w:hAnsi="宋体" w:eastAsia="宋体" w:cs="宋体"/>
              <w:b/>
              <w:bCs/>
              <w:sz w:val="24"/>
              <w:szCs w:val="24"/>
              <w:lang w:eastAsia="zh-CN"/>
            </w:rPr>
            <w:t xml:space="preserve"> </w:t>
          </w:r>
          <w:r>
            <w:rPr>
              <w:rFonts w:hint="eastAsia" w:ascii="宋体" w:hAnsi="宋体" w:eastAsia="宋体" w:cs="宋体"/>
              <w:b/>
              <w:bCs/>
              <w:sz w:val="24"/>
              <w:szCs w:val="24"/>
            </w:rPr>
            <w:t>监测和管护</w:t>
          </w:r>
          <w:r>
            <w:rPr>
              <w:rFonts w:hint="eastAsia" w:ascii="宋体" w:hAnsi="宋体" w:eastAsia="宋体" w:cs="宋体"/>
              <w:b/>
              <w:bCs/>
              <w:sz w:val="24"/>
              <w:szCs w:val="24"/>
            </w:rPr>
            <w:tab/>
          </w: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PAGEREF _Toc30759 \h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64</w:t>
          </w:r>
          <w:r>
            <w:rPr>
              <w:rFonts w:hint="eastAsia" w:ascii="宋体" w:hAnsi="宋体" w:eastAsia="宋体" w:cs="宋体"/>
              <w:b/>
              <w:bCs/>
              <w:sz w:val="24"/>
              <w:szCs w:val="24"/>
            </w:rPr>
            <w:fldChar w:fldCharType="end"/>
          </w:r>
          <w:r>
            <w:rPr>
              <w:rFonts w:hint="eastAsia" w:ascii="宋体" w:hAnsi="宋体" w:eastAsia="宋体" w:cs="宋体"/>
              <w:b/>
              <w:bCs/>
              <w:sz w:val="24"/>
              <w:szCs w:val="24"/>
            </w:rPr>
            <w:fldChar w:fldCharType="end"/>
          </w:r>
        </w:p>
        <w:p w14:paraId="057C7F16">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"_Toc20346" </w:instrText>
          </w:r>
          <w:r>
            <w:fldChar w:fldCharType="separate"/>
          </w:r>
          <w:r>
            <w:rPr>
              <w:rFonts w:hint="eastAsia" w:ascii="宋体" w:hAnsi="宋体" w:eastAsia="宋体" w:cs="宋体"/>
              <w:bCs/>
              <w:sz w:val="24"/>
              <w:szCs w:val="24"/>
              <w:lang w:eastAsia="zh-CN"/>
            </w:rPr>
            <w:t>一、</w:t>
          </w:r>
          <w:r>
            <w:rPr>
              <w:rFonts w:hint="eastAsia" w:ascii="宋体" w:hAnsi="宋体" w:eastAsia="宋体" w:cs="宋体"/>
              <w:bCs/>
              <w:sz w:val="24"/>
              <w:szCs w:val="24"/>
            </w:rPr>
            <w:t>监测</w:t>
          </w:r>
          <w:r>
            <w:rPr>
              <w:rFonts w:hint="eastAsia" w:ascii="宋体" w:hAnsi="宋体" w:eastAsia="宋体" w:cs="宋体"/>
              <w:bCs/>
              <w:sz w:val="24"/>
              <w:szCs w:val="24"/>
              <w:lang w:eastAsia="zh-CN"/>
            </w:rPr>
            <w:t>目标与措施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_Toc20346 \h </w:instrText>
          </w:r>
          <w:r>
            <w:rPr>
              <w:rFonts w:hint="eastAsia" w:ascii="宋体" w:hAnsi="宋体" w:eastAsia="宋体" w:cs="宋体"/>
              <w:sz w:val="24"/>
              <w:szCs w:val="24"/>
            </w:rPr>
            <w:fldChar w:fldCharType="separate"/>
          </w:r>
          <w:r>
            <w:rPr>
              <w:rFonts w:hint="eastAsia" w:ascii="宋体" w:hAnsi="宋体" w:eastAsia="宋体" w:cs="宋体"/>
              <w:sz w:val="24"/>
              <w:szCs w:val="24"/>
            </w:rPr>
            <w:t>64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4241E33">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"_Toc29151" </w:instrText>
          </w:r>
          <w:r>
            <w:fldChar w:fldCharType="separate"/>
          </w:r>
          <w:r>
            <w:rPr>
              <w:rFonts w:hint="eastAsia" w:ascii="宋体" w:hAnsi="宋体" w:eastAsia="宋体" w:cs="宋体"/>
              <w:bCs/>
              <w:sz w:val="24"/>
              <w:szCs w:val="24"/>
              <w:lang w:eastAsia="zh-CN"/>
            </w:rPr>
            <w:t>二、生态修复监测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_Toc29151 \h </w:instrText>
          </w:r>
          <w:r>
            <w:rPr>
              <w:rFonts w:hint="eastAsia" w:ascii="宋体" w:hAnsi="宋体" w:eastAsia="宋体" w:cs="宋体"/>
              <w:sz w:val="24"/>
              <w:szCs w:val="24"/>
            </w:rPr>
            <w:fldChar w:fldCharType="separate"/>
          </w:r>
          <w:r>
            <w:rPr>
              <w:rFonts w:hint="eastAsia" w:ascii="宋体" w:hAnsi="宋体" w:eastAsia="宋体" w:cs="宋体"/>
              <w:sz w:val="24"/>
              <w:szCs w:val="24"/>
            </w:rPr>
            <w:t>65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8A74EA3">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"_Toc23195" </w:instrText>
          </w:r>
          <w:r>
            <w:fldChar w:fldCharType="separate"/>
          </w:r>
          <w:r>
            <w:rPr>
              <w:rFonts w:hint="eastAsia" w:ascii="宋体" w:hAnsi="宋体" w:eastAsia="宋体" w:cs="宋体"/>
              <w:bCs/>
              <w:sz w:val="24"/>
              <w:szCs w:val="24"/>
              <w:lang w:eastAsia="zh-CN"/>
            </w:rPr>
            <w:t>三、管护目标与措施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_Toc23195 \h </w:instrText>
          </w:r>
          <w:r>
            <w:rPr>
              <w:rFonts w:hint="eastAsia" w:ascii="宋体" w:hAnsi="宋体" w:eastAsia="宋体" w:cs="宋体"/>
              <w:sz w:val="24"/>
              <w:szCs w:val="24"/>
            </w:rPr>
            <w:fldChar w:fldCharType="separate"/>
          </w:r>
          <w:r>
            <w:rPr>
              <w:rFonts w:hint="eastAsia" w:ascii="宋体" w:hAnsi="宋体" w:eastAsia="宋体" w:cs="宋体"/>
              <w:sz w:val="24"/>
              <w:szCs w:val="24"/>
            </w:rPr>
            <w:t>67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580A153">
          <w:pPr>
            <w:pStyle w:val="13"/>
            <w:widowControl w:val="0"/>
            <w:tabs>
              <w:tab w:val="right" w:leader="dot" w:pos="9071"/>
            </w:tabs>
            <w:kinsoku/>
            <w:adjustRightInd/>
            <w:snapToGrid/>
            <w:spacing w:line="360" w:lineRule="auto"/>
            <w:rPr>
              <w:rFonts w:hint="eastAsia" w:ascii="宋体" w:hAnsi="宋体" w:eastAsia="宋体" w:cs="宋体"/>
              <w:sz w:val="24"/>
              <w:szCs w:val="24"/>
            </w:rPr>
          </w:pPr>
          <w:r>
            <w:fldChar w:fldCharType="begin"/>
          </w:r>
          <w:r>
            <w:instrText xml:space="preserve"> HYPERLINK \l "_Toc23068" </w:instrText>
          </w:r>
          <w:r>
            <w:fldChar w:fldCharType="separate"/>
          </w:r>
          <w:r>
            <w:rPr>
              <w:rFonts w:hint="eastAsia" w:ascii="宋体" w:hAnsi="宋体" w:eastAsia="宋体" w:cs="宋体"/>
              <w:b/>
              <w:bCs/>
              <w:sz w:val="24"/>
              <w:szCs w:val="24"/>
            </w:rPr>
            <w:t>第</w:t>
          </w:r>
          <w:r>
            <w:rPr>
              <w:rFonts w:hint="eastAsia" w:ascii="宋体" w:hAnsi="宋体" w:eastAsia="宋体" w:cs="宋体"/>
              <w:b/>
              <w:bCs/>
              <w:sz w:val="24"/>
              <w:szCs w:val="24"/>
              <w:lang w:eastAsia="zh-CN"/>
            </w:rPr>
            <w:t>六</w:t>
          </w:r>
          <w:r>
            <w:rPr>
              <w:rFonts w:hint="eastAsia" w:ascii="宋体" w:hAnsi="宋体" w:eastAsia="宋体" w:cs="宋体"/>
              <w:b/>
              <w:bCs/>
              <w:sz w:val="24"/>
              <w:szCs w:val="24"/>
            </w:rPr>
            <w:t>章</w:t>
          </w:r>
          <w:r>
            <w:rPr>
              <w:rFonts w:hint="eastAsia" w:ascii="宋体" w:hAnsi="宋体" w:eastAsia="宋体" w:cs="宋体"/>
              <w:b/>
              <w:bCs/>
              <w:sz w:val="24"/>
              <w:szCs w:val="24"/>
              <w:lang w:eastAsia="zh-CN"/>
            </w:rPr>
            <w:t xml:space="preserve"> </w:t>
          </w:r>
          <w:r>
            <w:rPr>
              <w:rFonts w:hint="eastAsia" w:ascii="宋体" w:hAnsi="宋体" w:eastAsia="宋体" w:cs="宋体"/>
              <w:b/>
              <w:bCs/>
              <w:sz w:val="24"/>
              <w:szCs w:val="24"/>
            </w:rPr>
            <w:t>工作部署与经费估算</w:t>
          </w:r>
          <w:r>
            <w:rPr>
              <w:rFonts w:hint="eastAsia" w:ascii="宋体" w:hAnsi="宋体" w:eastAsia="宋体" w:cs="宋体"/>
              <w:b/>
              <w:bCs/>
              <w:sz w:val="24"/>
              <w:szCs w:val="24"/>
            </w:rPr>
            <w:tab/>
          </w: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PAGEREF _Toc23068 \h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68</w:t>
          </w:r>
          <w:r>
            <w:rPr>
              <w:rFonts w:hint="eastAsia" w:ascii="宋体" w:hAnsi="宋体" w:eastAsia="宋体" w:cs="宋体"/>
              <w:b/>
              <w:bCs/>
              <w:sz w:val="24"/>
              <w:szCs w:val="24"/>
            </w:rPr>
            <w:fldChar w:fldCharType="end"/>
          </w:r>
          <w:r>
            <w:rPr>
              <w:rFonts w:hint="eastAsia" w:ascii="宋体" w:hAnsi="宋体" w:eastAsia="宋体" w:cs="宋体"/>
              <w:b/>
              <w:bCs/>
              <w:sz w:val="24"/>
              <w:szCs w:val="24"/>
            </w:rPr>
            <w:fldChar w:fldCharType="end"/>
          </w:r>
        </w:p>
        <w:p w14:paraId="42B9CC63">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"_Toc3998" </w:instrText>
          </w:r>
          <w:r>
            <w:fldChar w:fldCharType="separate"/>
          </w:r>
          <w:r>
            <w:rPr>
              <w:rFonts w:hint="eastAsia" w:ascii="宋体" w:hAnsi="宋体" w:eastAsia="宋体" w:cs="宋体"/>
              <w:bCs/>
              <w:sz w:val="24"/>
              <w:szCs w:val="24"/>
              <w:lang w:eastAsia="zh-CN"/>
            </w:rPr>
            <w:t>一、总体部署</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_Toc3998 \h </w:instrText>
          </w:r>
          <w:r>
            <w:rPr>
              <w:rFonts w:hint="eastAsia" w:ascii="宋体" w:hAnsi="宋体" w:eastAsia="宋体" w:cs="宋体"/>
              <w:sz w:val="24"/>
              <w:szCs w:val="24"/>
            </w:rPr>
            <w:fldChar w:fldCharType="separate"/>
          </w:r>
          <w:r>
            <w:rPr>
              <w:rFonts w:hint="eastAsia" w:ascii="宋体" w:hAnsi="宋体" w:eastAsia="宋体" w:cs="宋体"/>
              <w:sz w:val="24"/>
              <w:szCs w:val="24"/>
            </w:rPr>
            <w:t>68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CE2C6A2">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"_Toc2675" </w:instrText>
          </w:r>
          <w:r>
            <w:fldChar w:fldCharType="separate"/>
          </w:r>
          <w:r>
            <w:rPr>
              <w:rFonts w:hint="eastAsia" w:ascii="宋体" w:hAnsi="宋体" w:eastAsia="宋体" w:cs="宋体"/>
              <w:bCs/>
              <w:sz w:val="24"/>
              <w:szCs w:val="24"/>
              <w:lang w:eastAsia="zh-CN"/>
            </w:rPr>
            <w:t>二、总体经费估算</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_Toc2675 \h </w:instrText>
          </w:r>
          <w:r>
            <w:rPr>
              <w:rFonts w:hint="eastAsia" w:ascii="宋体" w:hAnsi="宋体" w:eastAsia="宋体" w:cs="宋体"/>
              <w:sz w:val="24"/>
              <w:szCs w:val="24"/>
            </w:rPr>
            <w:fldChar w:fldCharType="separate"/>
          </w:r>
          <w:r>
            <w:rPr>
              <w:rFonts w:hint="eastAsia" w:ascii="宋体" w:hAnsi="宋体" w:eastAsia="宋体" w:cs="宋体"/>
              <w:sz w:val="24"/>
              <w:szCs w:val="24"/>
            </w:rPr>
            <w:t>68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52EB186E">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"_Toc11204" </w:instrText>
          </w:r>
          <w:r>
            <w:fldChar w:fldCharType="separate"/>
          </w:r>
          <w:r>
            <w:rPr>
              <w:rFonts w:hint="eastAsia" w:ascii="宋体" w:hAnsi="宋体" w:eastAsia="宋体" w:cs="宋体"/>
              <w:bCs/>
              <w:sz w:val="24"/>
              <w:szCs w:val="24"/>
              <w:lang w:eastAsia="zh-CN"/>
            </w:rPr>
            <w:t>三、阶段工作任务与经费安排</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_Toc11204 \h </w:instrText>
          </w:r>
          <w:r>
            <w:rPr>
              <w:rFonts w:hint="eastAsia" w:ascii="宋体" w:hAnsi="宋体" w:eastAsia="宋体" w:cs="宋体"/>
              <w:sz w:val="24"/>
              <w:szCs w:val="24"/>
            </w:rPr>
            <w:fldChar w:fldCharType="separate"/>
          </w:r>
          <w:r>
            <w:rPr>
              <w:rFonts w:hint="eastAsia" w:ascii="宋体" w:hAnsi="宋体" w:eastAsia="宋体" w:cs="宋体"/>
              <w:sz w:val="24"/>
              <w:szCs w:val="24"/>
            </w:rPr>
            <w:t>71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20151D3D">
          <w:pPr>
            <w:pStyle w:val="13"/>
            <w:widowControl w:val="0"/>
            <w:tabs>
              <w:tab w:val="right" w:leader="dot" w:pos="9071"/>
            </w:tabs>
            <w:kinsoku/>
            <w:adjustRightInd/>
            <w:snapToGrid/>
            <w:spacing w:line="360" w:lineRule="auto"/>
            <w:rPr>
              <w:rFonts w:hint="eastAsia" w:ascii="宋体" w:hAnsi="宋体" w:eastAsia="宋体" w:cs="宋体"/>
              <w:b/>
              <w:bCs/>
              <w:sz w:val="24"/>
              <w:szCs w:val="24"/>
            </w:rPr>
          </w:pPr>
          <w:r>
            <w:fldChar w:fldCharType="begin"/>
          </w:r>
          <w:r>
            <w:instrText xml:space="preserve"> HYPERLINK \l "_Toc3315" </w:instrText>
          </w:r>
          <w:r>
            <w:fldChar w:fldCharType="separate"/>
          </w:r>
          <w:r>
            <w:rPr>
              <w:rFonts w:hint="eastAsia" w:ascii="宋体" w:hAnsi="宋体" w:eastAsia="宋体" w:cs="宋体"/>
              <w:b/>
              <w:bCs/>
              <w:sz w:val="24"/>
              <w:szCs w:val="24"/>
            </w:rPr>
            <w:t>第</w:t>
          </w:r>
          <w:r>
            <w:rPr>
              <w:rFonts w:hint="eastAsia" w:ascii="宋体" w:hAnsi="宋体" w:eastAsia="宋体" w:cs="宋体"/>
              <w:b/>
              <w:bCs/>
              <w:sz w:val="24"/>
              <w:szCs w:val="24"/>
              <w:lang w:eastAsia="zh-CN"/>
            </w:rPr>
            <w:t>七</w:t>
          </w:r>
          <w:r>
            <w:rPr>
              <w:rFonts w:hint="eastAsia" w:ascii="宋体" w:hAnsi="宋体" w:eastAsia="宋体" w:cs="宋体"/>
              <w:b/>
              <w:bCs/>
              <w:sz w:val="24"/>
              <w:szCs w:val="24"/>
            </w:rPr>
            <w:t>章</w:t>
          </w:r>
          <w:r>
            <w:rPr>
              <w:rFonts w:hint="eastAsia" w:ascii="宋体" w:hAnsi="宋体" w:eastAsia="宋体" w:cs="宋体"/>
              <w:b/>
              <w:bCs/>
              <w:sz w:val="24"/>
              <w:szCs w:val="24"/>
              <w:lang w:eastAsia="zh-CN"/>
            </w:rPr>
            <w:t xml:space="preserve"> </w:t>
          </w:r>
          <w:r>
            <w:rPr>
              <w:rFonts w:hint="eastAsia" w:ascii="宋体" w:hAnsi="宋体" w:eastAsia="宋体" w:cs="宋体"/>
              <w:b/>
              <w:bCs/>
              <w:sz w:val="24"/>
              <w:szCs w:val="24"/>
            </w:rPr>
            <w:t>保障措施与公众参与</w:t>
          </w:r>
          <w:r>
            <w:rPr>
              <w:rFonts w:hint="eastAsia" w:ascii="宋体" w:hAnsi="宋体" w:eastAsia="宋体" w:cs="宋体"/>
              <w:b/>
              <w:bCs/>
              <w:sz w:val="24"/>
              <w:szCs w:val="24"/>
            </w:rPr>
            <w:tab/>
          </w: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PAGEREF _Toc3315 \h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74</w:t>
          </w:r>
          <w:r>
            <w:rPr>
              <w:rFonts w:hint="eastAsia" w:ascii="宋体" w:hAnsi="宋体" w:eastAsia="宋体" w:cs="宋体"/>
              <w:b/>
              <w:bCs/>
              <w:sz w:val="24"/>
              <w:szCs w:val="24"/>
            </w:rPr>
            <w:fldChar w:fldCharType="end"/>
          </w:r>
          <w:r>
            <w:rPr>
              <w:rFonts w:hint="eastAsia" w:ascii="宋体" w:hAnsi="宋体" w:eastAsia="宋体" w:cs="宋体"/>
              <w:b/>
              <w:bCs/>
              <w:sz w:val="24"/>
              <w:szCs w:val="24"/>
            </w:rPr>
            <w:fldChar w:fldCharType="end"/>
          </w:r>
        </w:p>
        <w:p w14:paraId="650F6880">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"_Toc30159" </w:instrText>
          </w:r>
          <w:r>
            <w:fldChar w:fldCharType="separate"/>
          </w:r>
          <w:r>
            <w:rPr>
              <w:rFonts w:hint="eastAsia" w:ascii="宋体" w:hAnsi="宋体" w:eastAsia="宋体" w:cs="宋体"/>
              <w:bCs/>
              <w:sz w:val="24"/>
              <w:szCs w:val="24"/>
              <w:lang w:eastAsia="zh-CN"/>
            </w:rPr>
            <w:t>一、保证措施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_Toc30159 \h </w:instrText>
          </w:r>
          <w:r>
            <w:rPr>
              <w:rFonts w:hint="eastAsia" w:ascii="宋体" w:hAnsi="宋体" w:eastAsia="宋体" w:cs="宋体"/>
              <w:sz w:val="24"/>
              <w:szCs w:val="24"/>
            </w:rPr>
            <w:fldChar w:fldCharType="separate"/>
          </w:r>
          <w:r>
            <w:rPr>
              <w:rFonts w:hint="eastAsia" w:ascii="宋体" w:hAnsi="宋体" w:eastAsia="宋体" w:cs="宋体"/>
              <w:sz w:val="24"/>
              <w:szCs w:val="24"/>
            </w:rPr>
            <w:t>74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B28F14F">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"_Toc28162" </w:instrText>
          </w:r>
          <w:r>
            <w:fldChar w:fldCharType="separate"/>
          </w:r>
          <w:r>
            <w:rPr>
              <w:rFonts w:hint="eastAsia" w:ascii="宋体" w:hAnsi="宋体" w:eastAsia="宋体" w:cs="宋体"/>
              <w:bCs/>
              <w:sz w:val="24"/>
              <w:szCs w:val="24"/>
              <w:lang w:eastAsia="zh-CN"/>
            </w:rPr>
            <w:t>二、公众参与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_Toc28162 \h </w:instrText>
          </w:r>
          <w:r>
            <w:rPr>
              <w:rFonts w:hint="eastAsia" w:ascii="宋体" w:hAnsi="宋体" w:eastAsia="宋体" w:cs="宋体"/>
              <w:sz w:val="24"/>
              <w:szCs w:val="24"/>
            </w:rPr>
            <w:fldChar w:fldCharType="separate"/>
          </w:r>
          <w:r>
            <w:rPr>
              <w:rFonts w:hint="eastAsia" w:ascii="宋体" w:hAnsi="宋体" w:eastAsia="宋体" w:cs="宋体"/>
              <w:sz w:val="24"/>
              <w:szCs w:val="24"/>
            </w:rPr>
            <w:t>77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CBE3261">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"_Toc20948" </w:instrText>
          </w:r>
          <w:r>
            <w:fldChar w:fldCharType="separate"/>
          </w:r>
          <w:r>
            <w:rPr>
              <w:rFonts w:hint="eastAsia" w:ascii="宋体" w:hAnsi="宋体" w:eastAsia="宋体" w:cs="宋体"/>
              <w:bCs/>
              <w:sz w:val="24"/>
              <w:szCs w:val="24"/>
              <w:lang w:eastAsia="zh-CN"/>
            </w:rPr>
            <w:t>三、效益分析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_Toc20948 \h </w:instrText>
          </w:r>
          <w:r>
            <w:rPr>
              <w:rFonts w:hint="eastAsia" w:ascii="宋体" w:hAnsi="宋体" w:eastAsia="宋体" w:cs="宋体"/>
              <w:sz w:val="24"/>
              <w:szCs w:val="24"/>
            </w:rPr>
            <w:fldChar w:fldCharType="separate"/>
          </w:r>
          <w:r>
            <w:rPr>
              <w:rFonts w:hint="eastAsia" w:ascii="宋体" w:hAnsi="宋体" w:eastAsia="宋体" w:cs="宋体"/>
              <w:sz w:val="24"/>
              <w:szCs w:val="24"/>
            </w:rPr>
            <w:t>79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779F5C12">
          <w:pPr>
            <w:pStyle w:val="13"/>
            <w:widowControl w:val="0"/>
            <w:tabs>
              <w:tab w:val="right" w:leader="dot" w:pos="9071"/>
            </w:tabs>
            <w:kinsoku/>
            <w:adjustRightInd/>
            <w:snapToGrid/>
            <w:spacing w:line="360" w:lineRule="auto"/>
            <w:rPr>
              <w:rFonts w:hint="eastAsia" w:ascii="宋体" w:hAnsi="宋体" w:eastAsia="宋体" w:cs="宋体"/>
              <w:sz w:val="24"/>
              <w:szCs w:val="24"/>
            </w:rPr>
          </w:pPr>
          <w:r>
            <w:fldChar w:fldCharType="begin"/>
          </w:r>
          <w:r>
            <w:instrText xml:space="preserve"> HYPERLINK \l "_Toc17338" </w:instrText>
          </w:r>
          <w:r>
            <w:fldChar w:fldCharType="separate"/>
          </w:r>
          <w:r>
            <w:rPr>
              <w:rFonts w:hint="eastAsia" w:ascii="宋体" w:hAnsi="宋体" w:eastAsia="宋体" w:cs="宋体"/>
              <w:b/>
              <w:bCs/>
              <w:sz w:val="24"/>
              <w:szCs w:val="24"/>
            </w:rPr>
            <w:t>第</w:t>
          </w:r>
          <w:r>
            <w:rPr>
              <w:rFonts w:hint="eastAsia" w:ascii="宋体" w:hAnsi="宋体" w:eastAsia="宋体" w:cs="宋体"/>
              <w:b/>
              <w:bCs/>
              <w:sz w:val="24"/>
              <w:szCs w:val="24"/>
              <w:lang w:eastAsia="zh-CN"/>
            </w:rPr>
            <w:t>八</w:t>
          </w:r>
          <w:r>
            <w:rPr>
              <w:rFonts w:hint="eastAsia" w:ascii="宋体" w:hAnsi="宋体" w:eastAsia="宋体" w:cs="宋体"/>
              <w:b/>
              <w:bCs/>
              <w:sz w:val="24"/>
              <w:szCs w:val="24"/>
            </w:rPr>
            <w:t>章</w:t>
          </w:r>
          <w:r>
            <w:rPr>
              <w:rFonts w:hint="eastAsia" w:ascii="宋体" w:hAnsi="宋体" w:eastAsia="宋体" w:cs="宋体"/>
              <w:b/>
              <w:bCs/>
              <w:sz w:val="24"/>
              <w:szCs w:val="24"/>
              <w:lang w:eastAsia="zh-CN"/>
            </w:rPr>
            <w:t xml:space="preserve"> </w:t>
          </w:r>
          <w:r>
            <w:rPr>
              <w:rFonts w:hint="eastAsia" w:ascii="宋体" w:hAnsi="宋体" w:eastAsia="宋体" w:cs="宋体"/>
              <w:b/>
              <w:bCs/>
              <w:sz w:val="24"/>
              <w:szCs w:val="24"/>
            </w:rPr>
            <w:t>结论</w:t>
          </w:r>
          <w:bookmarkStart w:id="345" w:name="_GoBack"/>
          <w:bookmarkEnd w:id="345"/>
          <w:r>
            <w:rPr>
              <w:rFonts w:hint="eastAsia" w:ascii="宋体" w:hAnsi="宋体" w:eastAsia="宋体" w:cs="宋体"/>
              <w:b/>
              <w:bCs/>
              <w:sz w:val="24"/>
              <w:szCs w:val="24"/>
            </w:rPr>
            <w:tab/>
          </w: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PAGEREF _Toc17338 \h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81</w:t>
          </w:r>
          <w:r>
            <w:rPr>
              <w:rFonts w:hint="eastAsia" w:ascii="宋体" w:hAnsi="宋体" w:eastAsia="宋体" w:cs="宋体"/>
              <w:b/>
              <w:bCs/>
              <w:sz w:val="24"/>
              <w:szCs w:val="24"/>
            </w:rPr>
            <w:fldChar w:fldCharType="end"/>
          </w:r>
          <w:r>
            <w:rPr>
              <w:rFonts w:hint="eastAsia" w:ascii="宋体" w:hAnsi="宋体" w:eastAsia="宋体" w:cs="宋体"/>
              <w:b/>
              <w:bCs/>
              <w:sz w:val="24"/>
              <w:szCs w:val="24"/>
            </w:rPr>
            <w:fldChar w:fldCharType="end"/>
          </w:r>
        </w:p>
        <w:p w14:paraId="379C1E84">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"_Toc10652" </w:instrText>
          </w:r>
          <w:r>
            <w:fldChar w:fldCharType="separate"/>
          </w:r>
          <w:r>
            <w:rPr>
              <w:rFonts w:hint="eastAsia" w:ascii="宋体" w:hAnsi="宋体" w:eastAsia="宋体" w:cs="宋体"/>
              <w:bCs/>
              <w:sz w:val="24"/>
              <w:szCs w:val="24"/>
              <w:lang w:eastAsia="zh-CN"/>
            </w:rPr>
            <w:t>一、结论</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_Toc10652 \h </w:instrText>
          </w:r>
          <w:r>
            <w:rPr>
              <w:rFonts w:hint="eastAsia" w:ascii="宋体" w:hAnsi="宋体" w:eastAsia="宋体" w:cs="宋体"/>
              <w:sz w:val="24"/>
              <w:szCs w:val="24"/>
            </w:rPr>
            <w:fldChar w:fldCharType="separate"/>
          </w:r>
          <w:r>
            <w:rPr>
              <w:rFonts w:hint="eastAsia" w:ascii="宋体" w:hAnsi="宋体" w:eastAsia="宋体" w:cs="宋体"/>
              <w:sz w:val="24"/>
              <w:szCs w:val="24"/>
            </w:rPr>
            <w:t>81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7B4B9114">
          <w:pPr>
            <w:pStyle w:val="14"/>
            <w:widowControl w:val="0"/>
            <w:tabs>
              <w:tab w:val="right" w:leader="dot" w:pos="9071"/>
            </w:tabs>
            <w:kinsoku/>
            <w:adjustRightInd/>
            <w:snapToGrid/>
            <w:spacing w:line="360" w:lineRule="auto"/>
            <w:ind w:left="0" w:leftChars="0" w:firstLine="420" w:firstLineChars="200"/>
            <w:rPr>
              <w:rFonts w:hint="eastAsia" w:ascii="宋体" w:hAnsi="宋体" w:eastAsia="宋体" w:cs="宋体"/>
              <w:sz w:val="24"/>
              <w:szCs w:val="24"/>
            </w:rPr>
          </w:pPr>
          <w:r>
            <w:fldChar w:fldCharType="begin"/>
          </w:r>
          <w:r>
            <w:instrText xml:space="preserve"> HYPERLINK \l "_Toc14133" </w:instrText>
          </w:r>
          <w:r>
            <w:fldChar w:fldCharType="separate"/>
          </w:r>
          <w:r>
            <w:rPr>
              <w:rFonts w:hint="eastAsia" w:ascii="宋体" w:hAnsi="宋体" w:eastAsia="宋体" w:cs="宋体"/>
              <w:bCs/>
              <w:sz w:val="24"/>
              <w:szCs w:val="24"/>
              <w:lang w:eastAsia="zh-CN"/>
            </w:rPr>
            <w:t>二、建议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_Toc14133 \h </w:instrText>
          </w:r>
          <w:r>
            <w:rPr>
              <w:rFonts w:hint="eastAsia" w:ascii="宋体" w:hAnsi="宋体" w:eastAsia="宋体" w:cs="宋体"/>
              <w:sz w:val="24"/>
              <w:szCs w:val="24"/>
            </w:rPr>
            <w:fldChar w:fldCharType="separate"/>
          </w:r>
          <w:r>
            <w:rPr>
              <w:rFonts w:hint="eastAsia" w:ascii="宋体" w:hAnsi="宋体" w:eastAsia="宋体" w:cs="宋体"/>
              <w:sz w:val="24"/>
              <w:szCs w:val="24"/>
            </w:rPr>
            <w:t>82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D09B862">
          <w:pPr>
            <w:kinsoku/>
            <w:adjustRightInd/>
            <w:snapToGrid/>
            <w:spacing w:line="360" w:lineRule="auto"/>
          </w:pPr>
          <w:r>
            <w:rPr>
              <w:rFonts w:hint="eastAsia" w:ascii="宋体" w:hAnsi="宋体" w:eastAsia="宋体" w:cs="宋体"/>
              <w:sz w:val="24"/>
              <w:szCs w:val="24"/>
            </w:rPr>
            <w:fldChar w:fldCharType="end"/>
          </w:r>
        </w:p>
      </w:sdtContent>
    </w:sdt>
    <w:p w14:paraId="18F354DB">
      <w:pPr>
        <w:spacing w:before="98" w:line="229" w:lineRule="auto"/>
        <w:ind w:left="33"/>
        <w:rPr>
          <w:rFonts w:hint="eastAsia" w:ascii="仿宋" w:hAnsi="仿宋" w:eastAsia="仿宋" w:cs="仿宋"/>
          <w:sz w:val="30"/>
          <w:szCs w:val="30"/>
          <w:lang w:eastAsia="zh-CN"/>
        </w:rPr>
      </w:pPr>
      <w:bookmarkStart w:id="0" w:name="bookmark60"/>
      <w:bookmarkEnd w:id="0"/>
      <w:r>
        <w:rPr>
          <w:rFonts w:ascii="仿宋" w:hAnsi="仿宋" w:eastAsia="仿宋" w:cs="仿宋"/>
          <w:b/>
          <w:bCs/>
          <w:spacing w:val="1"/>
          <w:sz w:val="30"/>
          <w:szCs w:val="30"/>
          <w:lang w:eastAsia="zh-CN"/>
        </w:rPr>
        <w:t>一、附图</w:t>
      </w:r>
    </w:p>
    <w:p w14:paraId="4A0B1373">
      <w:pPr>
        <w:widowControl w:val="0"/>
        <w:kinsoku/>
        <w:adjustRightInd/>
        <w:snapToGrid/>
        <w:spacing w:line="360" w:lineRule="auto"/>
        <w:ind w:firstLine="548" w:firstLineChars="200"/>
        <w:jc w:val="both"/>
        <w:rPr>
          <w:rFonts w:hint="eastAsia" w:ascii="仿宋" w:hAnsi="仿宋" w:eastAsia="仿宋" w:cs="仿宋"/>
          <w:sz w:val="28"/>
          <w:szCs w:val="28"/>
          <w:lang w:eastAsia="zh-CN"/>
        </w:rPr>
      </w:pPr>
      <w:r>
        <w:rPr>
          <w:rFonts w:ascii="仿宋" w:hAnsi="仿宋" w:eastAsia="仿宋" w:cs="仿宋"/>
          <w:spacing w:val="-3"/>
          <w:sz w:val="28"/>
          <w:szCs w:val="28"/>
          <w:lang w:eastAsia="zh-CN"/>
        </w:rPr>
        <w:t>1</w:t>
      </w:r>
      <w:r>
        <w:rPr>
          <w:rFonts w:hint="eastAsia" w:ascii="仿宋" w:hAnsi="仿宋" w:eastAsia="仿宋" w:cs="仿宋"/>
          <w:spacing w:val="-3"/>
          <w:sz w:val="28"/>
          <w:szCs w:val="28"/>
          <w:lang w:eastAsia="zh-CN"/>
        </w:rPr>
        <w:t>、青海省格尔木市茶格高速南建筑用砂2#矿</w:t>
      </w:r>
      <w:r>
        <w:rPr>
          <w:rFonts w:ascii="仿宋" w:hAnsi="仿宋" w:eastAsia="仿宋" w:cs="仿宋"/>
          <w:spacing w:val="-3"/>
          <w:sz w:val="28"/>
          <w:szCs w:val="28"/>
          <w:lang w:eastAsia="zh-CN"/>
        </w:rPr>
        <w:t>矿区土地利用现状图（1:10000）</w:t>
      </w:r>
      <w:r>
        <w:rPr>
          <w:rFonts w:hint="eastAsia" w:ascii="仿宋" w:hAnsi="仿宋" w:eastAsia="仿宋" w:cs="仿宋"/>
          <w:spacing w:val="-3"/>
          <w:sz w:val="28"/>
          <w:szCs w:val="28"/>
          <w:lang w:eastAsia="zh-CN"/>
        </w:rPr>
        <w:t>；</w:t>
      </w:r>
    </w:p>
    <w:p w14:paraId="25F5FDF8">
      <w:pPr>
        <w:widowControl w:val="0"/>
        <w:kinsoku/>
        <w:adjustRightInd/>
        <w:snapToGrid/>
        <w:spacing w:line="360" w:lineRule="auto"/>
        <w:ind w:firstLine="552" w:firstLineChars="200"/>
        <w:jc w:val="both"/>
        <w:rPr>
          <w:rFonts w:hint="eastAsia" w:ascii="仿宋" w:hAnsi="仿宋" w:eastAsia="仿宋" w:cs="仿宋"/>
          <w:spacing w:val="-3"/>
          <w:sz w:val="28"/>
          <w:szCs w:val="28"/>
          <w:lang w:eastAsia="zh-CN"/>
        </w:rPr>
      </w:pPr>
      <w:r>
        <w:rPr>
          <w:rFonts w:ascii="仿宋" w:hAnsi="仿宋" w:eastAsia="仿宋" w:cs="仿宋"/>
          <w:spacing w:val="-2"/>
          <w:sz w:val="28"/>
          <w:szCs w:val="28"/>
          <w:lang w:eastAsia="zh-CN"/>
        </w:rPr>
        <w:t>2</w:t>
      </w:r>
      <w:r>
        <w:rPr>
          <w:rFonts w:hint="eastAsia" w:ascii="仿宋" w:hAnsi="仿宋" w:eastAsia="仿宋" w:cs="仿宋"/>
          <w:spacing w:val="-2"/>
          <w:sz w:val="28"/>
          <w:szCs w:val="28"/>
          <w:lang w:eastAsia="zh-CN"/>
        </w:rPr>
        <w:t>、青海省格尔木市茶格高速南建筑用砂2#矿</w:t>
      </w:r>
      <w:r>
        <w:rPr>
          <w:rFonts w:ascii="仿宋" w:hAnsi="仿宋" w:eastAsia="仿宋" w:cs="仿宋"/>
          <w:spacing w:val="-3"/>
          <w:sz w:val="28"/>
          <w:szCs w:val="28"/>
          <w:lang w:eastAsia="zh-CN"/>
        </w:rPr>
        <w:t>矿区地质环境问题现状图（</w:t>
      </w:r>
      <w:r>
        <w:rPr>
          <w:rFonts w:ascii="Times New Roman" w:hAnsi="Times New Roman" w:eastAsia="Times New Roman" w:cs="Times New Roman"/>
          <w:spacing w:val="-3"/>
          <w:sz w:val="28"/>
          <w:szCs w:val="28"/>
          <w:lang w:eastAsia="zh-CN"/>
        </w:rPr>
        <w:t>1:</w:t>
      </w:r>
      <w:r>
        <w:rPr>
          <w:rFonts w:hint="eastAsia" w:ascii="Times New Roman" w:hAnsi="Times New Roman" w:eastAsia="Times New Roman" w:cs="Times New Roman"/>
          <w:spacing w:val="-3"/>
          <w:sz w:val="28"/>
          <w:szCs w:val="28"/>
          <w:lang w:val="en-US" w:eastAsia="zh-CN"/>
        </w:rPr>
        <w:t>5</w:t>
      </w:r>
      <w:r>
        <w:rPr>
          <w:rFonts w:ascii="Times New Roman" w:hAnsi="Times New Roman" w:eastAsia="Times New Roman" w:cs="Times New Roman"/>
          <w:spacing w:val="-3"/>
          <w:sz w:val="28"/>
          <w:szCs w:val="28"/>
          <w:lang w:eastAsia="zh-CN"/>
        </w:rPr>
        <w:t>00</w:t>
      </w:r>
      <w:r>
        <w:rPr>
          <w:rFonts w:ascii="仿宋" w:hAnsi="仿宋" w:eastAsia="仿宋" w:cs="仿宋"/>
          <w:spacing w:val="-3"/>
          <w:sz w:val="28"/>
          <w:szCs w:val="28"/>
          <w:lang w:eastAsia="zh-CN"/>
        </w:rPr>
        <w:t>）</w:t>
      </w:r>
      <w:r>
        <w:rPr>
          <w:rFonts w:hint="eastAsia" w:ascii="仿宋" w:hAnsi="仿宋" w:eastAsia="仿宋" w:cs="仿宋"/>
          <w:spacing w:val="-3"/>
          <w:sz w:val="28"/>
          <w:szCs w:val="28"/>
          <w:lang w:eastAsia="zh-CN"/>
        </w:rPr>
        <w:t>；</w:t>
      </w:r>
    </w:p>
    <w:p w14:paraId="691CC8BD">
      <w:pPr>
        <w:widowControl w:val="0"/>
        <w:kinsoku/>
        <w:adjustRightInd/>
        <w:snapToGrid/>
        <w:spacing w:line="360" w:lineRule="auto"/>
        <w:ind w:firstLine="548" w:firstLineChars="200"/>
        <w:jc w:val="both"/>
        <w:rPr>
          <w:rFonts w:hint="eastAsia" w:ascii="仿宋" w:hAnsi="仿宋" w:eastAsia="仿宋" w:cs="仿宋"/>
          <w:sz w:val="28"/>
          <w:szCs w:val="28"/>
          <w:lang w:eastAsia="zh-CN"/>
        </w:rPr>
      </w:pPr>
      <w:r>
        <w:rPr>
          <w:rFonts w:ascii="仿宋" w:hAnsi="仿宋" w:eastAsia="仿宋" w:cs="仿宋"/>
          <w:spacing w:val="-3"/>
          <w:sz w:val="28"/>
          <w:szCs w:val="28"/>
          <w:lang w:eastAsia="zh-CN"/>
        </w:rPr>
        <w:t>3</w:t>
      </w:r>
      <w:r>
        <w:rPr>
          <w:rFonts w:hint="eastAsia" w:ascii="仿宋" w:hAnsi="仿宋" w:eastAsia="仿宋" w:cs="仿宋"/>
          <w:spacing w:val="-3"/>
          <w:sz w:val="28"/>
          <w:szCs w:val="28"/>
          <w:lang w:eastAsia="zh-CN"/>
        </w:rPr>
        <w:t>、青海省格尔木市茶格高速南建筑用砂2#矿</w:t>
      </w:r>
      <w:r>
        <w:rPr>
          <w:rFonts w:ascii="仿宋" w:hAnsi="仿宋" w:eastAsia="仿宋" w:cs="仿宋"/>
          <w:spacing w:val="-3"/>
          <w:sz w:val="28"/>
          <w:szCs w:val="28"/>
          <w:lang w:eastAsia="zh-CN"/>
        </w:rPr>
        <w:t>矿区土地损毁现状图（1:</w:t>
      </w:r>
      <w:r>
        <w:rPr>
          <w:rFonts w:hint="eastAsia" w:ascii="仿宋" w:hAnsi="仿宋" w:eastAsia="仿宋" w:cs="仿宋"/>
          <w:spacing w:val="-3"/>
          <w:sz w:val="28"/>
          <w:szCs w:val="28"/>
          <w:lang w:val="en-US" w:eastAsia="zh-CN"/>
        </w:rPr>
        <w:t>5</w:t>
      </w:r>
      <w:r>
        <w:rPr>
          <w:rFonts w:ascii="仿宋" w:hAnsi="仿宋" w:eastAsia="仿宋" w:cs="仿宋"/>
          <w:spacing w:val="-3"/>
          <w:sz w:val="28"/>
          <w:szCs w:val="28"/>
          <w:lang w:eastAsia="zh-CN"/>
        </w:rPr>
        <w:t>00）</w:t>
      </w:r>
      <w:r>
        <w:rPr>
          <w:rFonts w:hint="eastAsia" w:ascii="仿宋" w:hAnsi="仿宋" w:eastAsia="仿宋" w:cs="仿宋"/>
          <w:spacing w:val="-3"/>
          <w:sz w:val="28"/>
          <w:szCs w:val="28"/>
          <w:lang w:eastAsia="zh-CN"/>
        </w:rPr>
        <w:t>；</w:t>
      </w:r>
    </w:p>
    <w:p w14:paraId="104DFCF7">
      <w:pPr>
        <w:widowControl w:val="0"/>
        <w:kinsoku/>
        <w:adjustRightInd/>
        <w:snapToGrid/>
        <w:spacing w:line="360" w:lineRule="auto"/>
        <w:ind w:firstLine="556" w:firstLineChars="200"/>
        <w:jc w:val="both"/>
        <w:rPr>
          <w:rFonts w:hint="eastAsia" w:ascii="仿宋" w:hAnsi="仿宋" w:eastAsia="仿宋" w:cs="仿宋"/>
          <w:sz w:val="28"/>
          <w:szCs w:val="28"/>
          <w:lang w:eastAsia="zh-CN"/>
        </w:rPr>
      </w:pPr>
      <w:r>
        <w:rPr>
          <w:rFonts w:ascii="仿宋" w:hAnsi="仿宋" w:eastAsia="仿宋" w:cs="仿宋"/>
          <w:spacing w:val="-1"/>
          <w:sz w:val="28"/>
          <w:szCs w:val="28"/>
          <w:lang w:eastAsia="zh-CN"/>
        </w:rPr>
        <w:t>4</w:t>
      </w:r>
      <w:r>
        <w:rPr>
          <w:rFonts w:hint="eastAsia" w:ascii="仿宋" w:hAnsi="仿宋" w:eastAsia="仿宋" w:cs="仿宋"/>
          <w:spacing w:val="-1"/>
          <w:sz w:val="28"/>
          <w:szCs w:val="28"/>
          <w:lang w:eastAsia="zh-CN"/>
        </w:rPr>
        <w:t>、青海省格尔木市茶格高速南建筑用砂2#矿</w:t>
      </w:r>
      <w:r>
        <w:rPr>
          <w:rFonts w:ascii="仿宋" w:hAnsi="仿宋" w:eastAsia="仿宋" w:cs="仿宋"/>
          <w:spacing w:val="-3"/>
          <w:sz w:val="28"/>
          <w:szCs w:val="28"/>
          <w:lang w:eastAsia="zh-CN"/>
        </w:rPr>
        <w:t>矿区地质环境问题预测图（</w:t>
      </w:r>
      <w:r>
        <w:rPr>
          <w:rFonts w:ascii="Times New Roman" w:hAnsi="Times New Roman" w:eastAsia="Times New Roman" w:cs="Times New Roman"/>
          <w:spacing w:val="-3"/>
          <w:sz w:val="28"/>
          <w:szCs w:val="28"/>
          <w:lang w:eastAsia="zh-CN"/>
        </w:rPr>
        <w:t>1:</w:t>
      </w:r>
      <w:r>
        <w:rPr>
          <w:rFonts w:hint="eastAsia" w:ascii="Times New Roman" w:hAnsi="Times New Roman" w:eastAsia="宋体" w:cs="Times New Roman"/>
          <w:spacing w:val="-3"/>
          <w:sz w:val="28"/>
          <w:szCs w:val="28"/>
          <w:lang w:val="en-US" w:eastAsia="zh-CN"/>
        </w:rPr>
        <w:t>5</w:t>
      </w:r>
      <w:r>
        <w:rPr>
          <w:rFonts w:ascii="Times New Roman" w:hAnsi="Times New Roman" w:eastAsia="Times New Roman" w:cs="Times New Roman"/>
          <w:spacing w:val="-3"/>
          <w:sz w:val="28"/>
          <w:szCs w:val="28"/>
          <w:lang w:eastAsia="zh-CN"/>
        </w:rPr>
        <w:t>00</w:t>
      </w:r>
      <w:r>
        <w:rPr>
          <w:rFonts w:ascii="仿宋" w:hAnsi="仿宋" w:eastAsia="仿宋" w:cs="仿宋"/>
          <w:spacing w:val="-3"/>
          <w:sz w:val="28"/>
          <w:szCs w:val="28"/>
          <w:lang w:eastAsia="zh-CN"/>
        </w:rPr>
        <w:t>）</w:t>
      </w:r>
      <w:r>
        <w:rPr>
          <w:rFonts w:hint="eastAsia" w:ascii="仿宋" w:hAnsi="仿宋" w:eastAsia="仿宋" w:cs="仿宋"/>
          <w:spacing w:val="-3"/>
          <w:sz w:val="28"/>
          <w:szCs w:val="28"/>
          <w:lang w:eastAsia="zh-CN"/>
        </w:rPr>
        <w:t>；</w:t>
      </w:r>
    </w:p>
    <w:p w14:paraId="1AEE3E57">
      <w:pPr>
        <w:widowControl w:val="0"/>
        <w:kinsoku/>
        <w:adjustRightInd/>
        <w:snapToGrid/>
        <w:spacing w:line="360" w:lineRule="auto"/>
        <w:ind w:firstLine="548" w:firstLineChars="200"/>
        <w:jc w:val="both"/>
        <w:rPr>
          <w:rFonts w:hint="eastAsia" w:ascii="仿宋" w:hAnsi="仿宋" w:eastAsia="仿宋" w:cs="仿宋"/>
          <w:sz w:val="28"/>
          <w:szCs w:val="28"/>
          <w:lang w:eastAsia="zh-CN"/>
        </w:rPr>
      </w:pPr>
      <w:r>
        <w:rPr>
          <w:rFonts w:ascii="仿宋" w:hAnsi="仿宋" w:eastAsia="仿宋" w:cs="仿宋"/>
          <w:spacing w:val="-3"/>
          <w:sz w:val="28"/>
          <w:szCs w:val="28"/>
          <w:lang w:eastAsia="zh-CN"/>
        </w:rPr>
        <w:t>5</w:t>
      </w:r>
      <w:r>
        <w:rPr>
          <w:rFonts w:hint="eastAsia" w:ascii="仿宋" w:hAnsi="仿宋" w:eastAsia="仿宋" w:cs="仿宋"/>
          <w:spacing w:val="-3"/>
          <w:sz w:val="28"/>
          <w:szCs w:val="28"/>
          <w:lang w:eastAsia="zh-CN"/>
        </w:rPr>
        <w:t>、青海省格尔木市茶格高速南建筑用砂2#矿</w:t>
      </w:r>
      <w:r>
        <w:rPr>
          <w:rFonts w:ascii="仿宋" w:hAnsi="仿宋" w:eastAsia="仿宋" w:cs="仿宋"/>
          <w:spacing w:val="-3"/>
          <w:sz w:val="28"/>
          <w:szCs w:val="28"/>
          <w:lang w:eastAsia="zh-CN"/>
        </w:rPr>
        <w:t>矿区土地损毁预测图（1:</w:t>
      </w:r>
      <w:r>
        <w:rPr>
          <w:rFonts w:hint="eastAsia" w:ascii="仿宋" w:hAnsi="仿宋" w:eastAsia="仿宋" w:cs="仿宋"/>
          <w:spacing w:val="-3"/>
          <w:sz w:val="28"/>
          <w:szCs w:val="28"/>
          <w:lang w:val="en-US" w:eastAsia="zh-CN"/>
        </w:rPr>
        <w:t>5</w:t>
      </w:r>
      <w:r>
        <w:rPr>
          <w:rFonts w:ascii="仿宋" w:hAnsi="仿宋" w:eastAsia="仿宋" w:cs="仿宋"/>
          <w:spacing w:val="-3"/>
          <w:sz w:val="28"/>
          <w:szCs w:val="28"/>
          <w:lang w:eastAsia="zh-CN"/>
        </w:rPr>
        <w:t>00）</w:t>
      </w:r>
      <w:r>
        <w:rPr>
          <w:rFonts w:hint="eastAsia" w:ascii="仿宋" w:hAnsi="仿宋" w:eastAsia="仿宋" w:cs="仿宋"/>
          <w:spacing w:val="-3"/>
          <w:sz w:val="28"/>
          <w:szCs w:val="28"/>
          <w:lang w:eastAsia="zh-CN"/>
        </w:rPr>
        <w:t>；</w:t>
      </w:r>
    </w:p>
    <w:p w14:paraId="40DA4255">
      <w:pPr>
        <w:widowControl w:val="0"/>
        <w:kinsoku/>
        <w:adjustRightInd/>
        <w:snapToGrid/>
        <w:spacing w:line="360" w:lineRule="auto"/>
        <w:ind w:firstLine="556" w:firstLineChars="200"/>
        <w:jc w:val="both"/>
        <w:rPr>
          <w:rFonts w:hint="eastAsia" w:ascii="仿宋" w:hAnsi="仿宋" w:eastAsia="仿宋" w:cs="仿宋"/>
          <w:sz w:val="28"/>
          <w:szCs w:val="28"/>
          <w:lang w:eastAsia="zh-CN"/>
        </w:rPr>
      </w:pPr>
      <w:r>
        <w:rPr>
          <w:rFonts w:hint="eastAsia" w:ascii="仿宋" w:hAnsi="仿宋" w:eastAsia="仿宋" w:cs="仿宋"/>
          <w:spacing w:val="-1"/>
          <w:sz w:val="28"/>
          <w:szCs w:val="28"/>
          <w:lang w:eastAsia="zh-CN"/>
        </w:rPr>
        <w:t>6、青海省格尔木市茶格高速南建筑用砂2#矿</w:t>
      </w:r>
      <w:r>
        <w:rPr>
          <w:rFonts w:ascii="仿宋" w:hAnsi="仿宋" w:eastAsia="仿宋" w:cs="仿宋"/>
          <w:spacing w:val="-3"/>
          <w:sz w:val="28"/>
          <w:szCs w:val="28"/>
          <w:lang w:eastAsia="zh-CN"/>
        </w:rPr>
        <w:t>矿区生态修复工程部署图（</w:t>
      </w:r>
      <w:r>
        <w:rPr>
          <w:rFonts w:ascii="Times New Roman" w:hAnsi="Times New Roman" w:eastAsia="Times New Roman" w:cs="Times New Roman"/>
          <w:spacing w:val="-3"/>
          <w:sz w:val="28"/>
          <w:szCs w:val="28"/>
          <w:lang w:eastAsia="zh-CN"/>
        </w:rPr>
        <w:t>1</w:t>
      </w:r>
      <w:r>
        <w:rPr>
          <w:rFonts w:ascii="仿宋" w:hAnsi="仿宋" w:eastAsia="仿宋" w:cs="仿宋"/>
          <w:spacing w:val="-3"/>
          <w:sz w:val="28"/>
          <w:szCs w:val="28"/>
          <w:lang w:eastAsia="zh-CN"/>
        </w:rPr>
        <w:t>：</w:t>
      </w:r>
      <w:r>
        <w:rPr>
          <w:rFonts w:hint="eastAsia" w:ascii="Times New Roman" w:hAnsi="Times New Roman" w:eastAsia="宋体" w:cs="Times New Roman"/>
          <w:spacing w:val="-3"/>
          <w:sz w:val="28"/>
          <w:szCs w:val="28"/>
          <w:lang w:val="en-US" w:eastAsia="zh-CN"/>
        </w:rPr>
        <w:t>5</w:t>
      </w:r>
      <w:r>
        <w:rPr>
          <w:rFonts w:ascii="Times New Roman" w:hAnsi="Times New Roman" w:eastAsia="Times New Roman" w:cs="Times New Roman"/>
          <w:spacing w:val="-3"/>
          <w:sz w:val="28"/>
          <w:szCs w:val="28"/>
          <w:lang w:eastAsia="zh-CN"/>
        </w:rPr>
        <w:t>00</w:t>
      </w:r>
      <w:r>
        <w:rPr>
          <w:rFonts w:ascii="仿宋" w:hAnsi="仿宋" w:eastAsia="仿宋" w:cs="仿宋"/>
          <w:spacing w:val="-3"/>
          <w:sz w:val="28"/>
          <w:szCs w:val="28"/>
          <w:lang w:eastAsia="zh-CN"/>
        </w:rPr>
        <w:t>）</w:t>
      </w:r>
      <w:r>
        <w:rPr>
          <w:rFonts w:hint="eastAsia" w:ascii="仿宋" w:hAnsi="仿宋" w:eastAsia="仿宋" w:cs="仿宋"/>
          <w:spacing w:val="-3"/>
          <w:sz w:val="28"/>
          <w:szCs w:val="28"/>
          <w:lang w:eastAsia="zh-CN"/>
        </w:rPr>
        <w:t>；</w:t>
      </w:r>
    </w:p>
    <w:p w14:paraId="102F8F99">
      <w:pPr>
        <w:widowControl w:val="0"/>
        <w:kinsoku/>
        <w:adjustRightInd/>
        <w:snapToGrid/>
        <w:spacing w:line="360" w:lineRule="auto"/>
        <w:rPr>
          <w:rFonts w:hint="eastAsia" w:ascii="仿宋" w:hAnsi="仿宋" w:eastAsia="仿宋" w:cs="仿宋"/>
          <w:sz w:val="30"/>
          <w:szCs w:val="30"/>
          <w:lang w:eastAsia="zh-CN"/>
        </w:rPr>
      </w:pPr>
      <w:r>
        <w:rPr>
          <w:rFonts w:ascii="仿宋" w:hAnsi="仿宋" w:eastAsia="仿宋" w:cs="仿宋"/>
          <w:b/>
          <w:bCs/>
          <w:spacing w:val="3"/>
          <w:sz w:val="30"/>
          <w:szCs w:val="30"/>
          <w:lang w:eastAsia="zh-CN"/>
        </w:rPr>
        <w:t>二、附表、附件</w:t>
      </w:r>
    </w:p>
    <w:p w14:paraId="0BA49676">
      <w:pPr>
        <w:widowControl w:val="0"/>
        <w:kinsoku/>
        <w:adjustRightInd/>
        <w:snapToGrid/>
        <w:spacing w:line="360" w:lineRule="auto"/>
        <w:ind w:firstLine="548" w:firstLineChars="200"/>
        <w:jc w:val="both"/>
        <w:rPr>
          <w:rFonts w:hint="eastAsia" w:ascii="仿宋" w:hAnsi="仿宋" w:eastAsia="仿宋" w:cs="仿宋"/>
          <w:spacing w:val="-3"/>
          <w:sz w:val="28"/>
          <w:szCs w:val="28"/>
          <w:lang w:eastAsia="zh-CN"/>
        </w:rPr>
      </w:pPr>
      <w:r>
        <w:rPr>
          <w:rFonts w:ascii="仿宋" w:hAnsi="仿宋" w:eastAsia="仿宋" w:cs="仿宋"/>
          <w:spacing w:val="-3"/>
          <w:sz w:val="28"/>
          <w:szCs w:val="28"/>
          <w:lang w:eastAsia="zh-CN"/>
        </w:rPr>
        <w:t>1</w:t>
      </w:r>
      <w:r>
        <w:rPr>
          <w:rFonts w:hint="eastAsia" w:ascii="仿宋" w:hAnsi="仿宋" w:eastAsia="仿宋" w:cs="仿宋"/>
          <w:spacing w:val="-3"/>
          <w:sz w:val="28"/>
          <w:szCs w:val="28"/>
          <w:lang w:eastAsia="zh-CN"/>
        </w:rPr>
        <w:t>、矿区生态修复报告投资估算表</w:t>
      </w:r>
    </w:p>
    <w:p w14:paraId="442CD0FC">
      <w:pPr>
        <w:widowControl w:val="0"/>
        <w:kinsoku/>
        <w:adjustRightInd/>
        <w:snapToGrid/>
        <w:spacing w:line="360" w:lineRule="auto"/>
        <w:ind w:firstLine="548" w:firstLineChars="200"/>
        <w:jc w:val="both"/>
        <w:rPr>
          <w:rFonts w:hint="eastAsia" w:ascii="仿宋" w:hAnsi="仿宋" w:eastAsia="仿宋" w:cs="仿宋"/>
          <w:spacing w:val="-3"/>
          <w:sz w:val="28"/>
          <w:szCs w:val="28"/>
          <w:lang w:eastAsia="zh-CN"/>
        </w:rPr>
      </w:pPr>
      <w:r>
        <w:rPr>
          <w:rFonts w:hint="eastAsia" w:ascii="仿宋" w:hAnsi="仿宋" w:eastAsia="仿宋" w:cs="仿宋"/>
          <w:spacing w:val="-3"/>
          <w:sz w:val="28"/>
          <w:szCs w:val="28"/>
          <w:lang w:eastAsia="zh-CN"/>
        </w:rPr>
        <w:t>2、</w:t>
      </w:r>
      <w:r>
        <w:rPr>
          <w:rFonts w:ascii="仿宋" w:hAnsi="仿宋" w:eastAsia="仿宋" w:cs="仿宋"/>
          <w:spacing w:val="-3"/>
          <w:sz w:val="28"/>
          <w:szCs w:val="28"/>
          <w:lang w:eastAsia="zh-CN"/>
        </w:rPr>
        <w:t>矿区生态修复报告表</w:t>
      </w:r>
      <w:r>
        <w:rPr>
          <w:rFonts w:hint="eastAsia" w:ascii="仿宋" w:hAnsi="仿宋" w:eastAsia="仿宋" w:cs="仿宋"/>
          <w:spacing w:val="-3"/>
          <w:sz w:val="28"/>
          <w:szCs w:val="28"/>
          <w:lang w:eastAsia="zh-CN"/>
        </w:rPr>
        <w:t>；</w:t>
      </w:r>
    </w:p>
    <w:p w14:paraId="065A1C28">
      <w:pPr>
        <w:widowControl w:val="0"/>
        <w:kinsoku/>
        <w:adjustRightInd/>
        <w:snapToGrid/>
        <w:spacing w:line="360" w:lineRule="auto"/>
        <w:ind w:firstLine="548" w:firstLineChars="200"/>
        <w:jc w:val="both"/>
        <w:rPr>
          <w:rFonts w:hint="eastAsia" w:ascii="仿宋" w:hAnsi="仿宋" w:eastAsia="仿宋" w:cs="仿宋"/>
          <w:spacing w:val="-3"/>
          <w:sz w:val="28"/>
          <w:szCs w:val="28"/>
          <w:lang w:eastAsia="zh-CN"/>
        </w:rPr>
      </w:pPr>
      <w:r>
        <w:rPr>
          <w:rFonts w:ascii="仿宋" w:hAnsi="仿宋" w:eastAsia="仿宋" w:cs="仿宋"/>
          <w:spacing w:val="-3"/>
          <w:sz w:val="28"/>
          <w:szCs w:val="28"/>
          <w:lang w:eastAsia="zh-CN"/>
        </w:rPr>
        <w:t>3</w:t>
      </w:r>
      <w:r>
        <w:rPr>
          <w:rFonts w:hint="eastAsia" w:ascii="仿宋" w:hAnsi="仿宋" w:eastAsia="仿宋" w:cs="仿宋"/>
          <w:spacing w:val="-3"/>
          <w:sz w:val="28"/>
          <w:szCs w:val="28"/>
          <w:lang w:eastAsia="zh-CN"/>
        </w:rPr>
        <w:t>、</w:t>
      </w:r>
      <w:r>
        <w:rPr>
          <w:rFonts w:ascii="仿宋" w:hAnsi="仿宋" w:eastAsia="仿宋" w:cs="仿宋"/>
          <w:spacing w:val="-3"/>
          <w:sz w:val="28"/>
          <w:szCs w:val="28"/>
          <w:lang w:eastAsia="zh-CN"/>
        </w:rPr>
        <w:t>矿区生态修复承诺书</w:t>
      </w:r>
      <w:r>
        <w:rPr>
          <w:rFonts w:hint="eastAsia" w:ascii="仿宋" w:hAnsi="仿宋" w:eastAsia="仿宋" w:cs="仿宋"/>
          <w:spacing w:val="-3"/>
          <w:sz w:val="28"/>
          <w:szCs w:val="28"/>
          <w:lang w:eastAsia="zh-CN"/>
        </w:rPr>
        <w:t>；</w:t>
      </w:r>
    </w:p>
    <w:p w14:paraId="49F6DE62">
      <w:pPr>
        <w:widowControl w:val="0"/>
        <w:kinsoku/>
        <w:adjustRightInd/>
        <w:snapToGrid/>
        <w:spacing w:line="360" w:lineRule="auto"/>
        <w:ind w:firstLine="548" w:firstLineChars="200"/>
        <w:jc w:val="both"/>
        <w:rPr>
          <w:rFonts w:hint="eastAsia" w:ascii="仿宋" w:hAnsi="仿宋" w:eastAsia="仿宋" w:cs="仿宋"/>
          <w:spacing w:val="-3"/>
          <w:sz w:val="28"/>
          <w:szCs w:val="28"/>
          <w:lang w:eastAsia="zh-CN"/>
        </w:rPr>
      </w:pPr>
      <w:r>
        <w:rPr>
          <w:rFonts w:hint="eastAsia" w:ascii="仿宋" w:hAnsi="仿宋" w:eastAsia="仿宋" w:cs="仿宋"/>
          <w:spacing w:val="-3"/>
          <w:sz w:val="28"/>
          <w:szCs w:val="28"/>
          <w:lang w:eastAsia="zh-CN"/>
        </w:rPr>
        <w:t>4、</w:t>
      </w:r>
      <w:r>
        <w:rPr>
          <w:rFonts w:ascii="仿宋" w:hAnsi="仿宋" w:eastAsia="仿宋" w:cs="仿宋"/>
          <w:spacing w:val="-3"/>
          <w:sz w:val="28"/>
          <w:szCs w:val="28"/>
          <w:lang w:eastAsia="zh-CN"/>
        </w:rPr>
        <w:t>委托函</w:t>
      </w:r>
      <w:r>
        <w:rPr>
          <w:rFonts w:hint="eastAsia" w:ascii="仿宋" w:hAnsi="仿宋" w:eastAsia="仿宋" w:cs="仿宋"/>
          <w:spacing w:val="-3"/>
          <w:sz w:val="28"/>
          <w:szCs w:val="28"/>
          <w:lang w:eastAsia="zh-CN"/>
        </w:rPr>
        <w:t>；</w:t>
      </w:r>
    </w:p>
    <w:p w14:paraId="1EBE23C1">
      <w:pPr>
        <w:widowControl w:val="0"/>
        <w:kinsoku/>
        <w:adjustRightInd/>
        <w:snapToGrid/>
        <w:spacing w:line="360" w:lineRule="auto"/>
        <w:ind w:firstLine="548" w:firstLineChars="200"/>
        <w:jc w:val="both"/>
        <w:rPr>
          <w:rFonts w:hint="eastAsia" w:ascii="仿宋" w:hAnsi="仿宋" w:eastAsia="仿宋" w:cs="仿宋"/>
          <w:spacing w:val="-3"/>
          <w:sz w:val="28"/>
          <w:szCs w:val="28"/>
          <w:lang w:eastAsia="zh-CN"/>
        </w:rPr>
      </w:pPr>
      <w:r>
        <w:rPr>
          <w:rFonts w:hint="eastAsia" w:ascii="仿宋" w:hAnsi="仿宋" w:eastAsia="仿宋" w:cs="仿宋"/>
          <w:spacing w:val="-3"/>
          <w:sz w:val="28"/>
          <w:szCs w:val="28"/>
          <w:lang w:eastAsia="zh-CN"/>
        </w:rPr>
        <w:t>5、</w:t>
      </w:r>
      <w:r>
        <w:rPr>
          <w:rFonts w:ascii="仿宋" w:hAnsi="仿宋" w:eastAsia="仿宋" w:cs="仿宋"/>
          <w:spacing w:val="-3"/>
          <w:sz w:val="28"/>
          <w:szCs w:val="28"/>
          <w:lang w:eastAsia="zh-CN"/>
        </w:rPr>
        <w:t>采矿权</w:t>
      </w:r>
      <w:r>
        <w:rPr>
          <w:rFonts w:hint="eastAsia" w:ascii="仿宋" w:hAnsi="仿宋" w:eastAsia="仿宋" w:cs="仿宋"/>
          <w:spacing w:val="-3"/>
          <w:sz w:val="28"/>
          <w:szCs w:val="28"/>
          <w:lang w:eastAsia="zh-CN"/>
        </w:rPr>
        <w:t>许可证；</w:t>
      </w:r>
    </w:p>
    <w:p w14:paraId="4994B2A7">
      <w:pPr>
        <w:widowControl w:val="0"/>
        <w:kinsoku/>
        <w:adjustRightInd/>
        <w:snapToGrid/>
        <w:spacing w:line="360" w:lineRule="auto"/>
        <w:ind w:firstLine="548" w:firstLineChars="200"/>
        <w:jc w:val="both"/>
        <w:rPr>
          <w:rFonts w:hint="eastAsia" w:ascii="仿宋" w:hAnsi="仿宋" w:eastAsia="仿宋" w:cs="仿宋"/>
          <w:spacing w:val="-3"/>
          <w:sz w:val="28"/>
          <w:szCs w:val="28"/>
          <w:lang w:eastAsia="zh-CN"/>
        </w:rPr>
      </w:pPr>
      <w:r>
        <w:rPr>
          <w:rFonts w:hint="eastAsia" w:ascii="仿宋" w:hAnsi="仿宋" w:eastAsia="仿宋" w:cs="仿宋"/>
          <w:spacing w:val="-3"/>
          <w:sz w:val="28"/>
          <w:szCs w:val="28"/>
          <w:lang w:val="en-US" w:eastAsia="zh-CN"/>
        </w:rPr>
        <w:t>6</w:t>
      </w:r>
      <w:r>
        <w:rPr>
          <w:rFonts w:hint="eastAsia" w:ascii="仿宋" w:hAnsi="仿宋" w:eastAsia="仿宋" w:cs="仿宋"/>
          <w:spacing w:val="-3"/>
          <w:sz w:val="28"/>
          <w:szCs w:val="28"/>
          <w:lang w:eastAsia="zh-CN"/>
        </w:rPr>
        <w:t>、</w:t>
      </w:r>
      <w:r>
        <w:rPr>
          <w:rFonts w:ascii="仿宋" w:hAnsi="仿宋" w:eastAsia="仿宋" w:cs="仿宋"/>
          <w:spacing w:val="-3"/>
          <w:sz w:val="28"/>
          <w:szCs w:val="28"/>
          <w:lang w:eastAsia="zh-CN"/>
        </w:rPr>
        <w:t>企业营业执照</w:t>
      </w:r>
      <w:r>
        <w:rPr>
          <w:rFonts w:hint="eastAsia" w:ascii="仿宋" w:hAnsi="仿宋" w:eastAsia="仿宋" w:cs="仿宋"/>
          <w:spacing w:val="-3"/>
          <w:sz w:val="28"/>
          <w:szCs w:val="28"/>
          <w:lang w:eastAsia="zh-CN"/>
        </w:rPr>
        <w:t>；</w:t>
      </w:r>
    </w:p>
    <w:p w14:paraId="68969140">
      <w:pPr>
        <w:widowControl w:val="0"/>
        <w:kinsoku/>
        <w:adjustRightInd/>
        <w:snapToGrid/>
        <w:spacing w:line="360" w:lineRule="auto"/>
        <w:ind w:firstLine="548" w:firstLineChars="200"/>
        <w:jc w:val="both"/>
        <w:rPr>
          <w:rFonts w:hint="eastAsia" w:ascii="仿宋" w:hAnsi="仿宋" w:eastAsia="仿宋" w:cs="仿宋"/>
          <w:spacing w:val="-3"/>
          <w:sz w:val="28"/>
          <w:szCs w:val="28"/>
          <w:lang w:eastAsia="zh-CN"/>
        </w:rPr>
      </w:pPr>
      <w:bookmarkStart w:id="1" w:name="bookmark238"/>
      <w:bookmarkEnd w:id="1"/>
      <w:r>
        <w:rPr>
          <w:rFonts w:hint="eastAsia" w:ascii="仿宋" w:hAnsi="仿宋" w:eastAsia="仿宋" w:cs="仿宋"/>
          <w:spacing w:val="-3"/>
          <w:sz w:val="28"/>
          <w:szCs w:val="28"/>
          <w:lang w:val="en-US" w:eastAsia="zh-CN"/>
        </w:rPr>
        <w:t>7</w:t>
      </w:r>
      <w:r>
        <w:rPr>
          <w:rFonts w:hint="eastAsia" w:ascii="仿宋" w:hAnsi="仿宋" w:eastAsia="仿宋" w:cs="仿宋"/>
          <w:spacing w:val="-3"/>
          <w:sz w:val="28"/>
          <w:szCs w:val="28"/>
          <w:lang w:eastAsia="zh-CN"/>
        </w:rPr>
        <w:t>、</w:t>
      </w:r>
      <w:r>
        <w:rPr>
          <w:rFonts w:ascii="仿宋" w:hAnsi="仿宋" w:eastAsia="仿宋" w:cs="仿宋"/>
          <w:spacing w:val="-3"/>
          <w:sz w:val="28"/>
          <w:szCs w:val="28"/>
          <w:lang w:eastAsia="zh-CN"/>
        </w:rPr>
        <w:t>公众参与调查表</w:t>
      </w:r>
      <w:r>
        <w:rPr>
          <w:rFonts w:hint="eastAsia" w:ascii="仿宋" w:hAnsi="仿宋" w:eastAsia="仿宋" w:cs="仿宋"/>
          <w:spacing w:val="-3"/>
          <w:sz w:val="28"/>
          <w:szCs w:val="28"/>
          <w:lang w:eastAsia="zh-CN"/>
        </w:rPr>
        <w:t>。</w:t>
      </w:r>
    </w:p>
    <w:p w14:paraId="734F2342">
      <w:pPr>
        <w:spacing w:line="224" w:lineRule="auto"/>
        <w:rPr>
          <w:rFonts w:hint="eastAsia" w:ascii="仿宋" w:hAnsi="仿宋" w:eastAsia="仿宋" w:cs="仿宋"/>
          <w:sz w:val="28"/>
          <w:szCs w:val="28"/>
          <w:lang w:eastAsia="zh-CN"/>
        </w:rPr>
        <w:sectPr>
          <w:pgSz w:w="11905" w:h="16839"/>
          <w:pgMar w:top="1440" w:right="1800" w:bottom="1440" w:left="1800" w:header="0" w:footer="0" w:gutter="0"/>
          <w:cols w:space="720" w:num="1"/>
        </w:sectPr>
      </w:pPr>
    </w:p>
    <w:p w14:paraId="3E08811B">
      <w:pPr>
        <w:pStyle w:val="2"/>
        <w:keepNext w:val="0"/>
        <w:keepLines w:val="0"/>
        <w:widowControl w:val="0"/>
        <w:kinsoku/>
        <w:spacing w:before="0" w:after="0" w:line="360" w:lineRule="auto"/>
        <w:jc w:val="center"/>
        <w:rPr>
          <w:rFonts w:hint="eastAsia" w:ascii="黑体" w:hAnsi="黑体" w:eastAsia="黑体" w:cs="黑体"/>
          <w:b w:val="0"/>
          <w:bCs/>
          <w:sz w:val="32"/>
          <w:szCs w:val="32"/>
          <w:lang w:eastAsia="zh-CN"/>
        </w:rPr>
      </w:pPr>
      <w:bookmarkStart w:id="2" w:name="_Toc8018"/>
      <w:r>
        <w:rPr>
          <w:rFonts w:hint="eastAsia" w:ascii="黑体" w:hAnsi="黑体" w:eastAsia="黑体" w:cs="黑体"/>
          <w:b w:val="0"/>
          <w:bCs/>
          <w:sz w:val="32"/>
          <w:szCs w:val="32"/>
          <w:lang w:eastAsia="zh-CN"/>
        </w:rPr>
        <w:t>前  言</w:t>
      </w:r>
      <w:bookmarkEnd w:id="2"/>
    </w:p>
    <w:p w14:paraId="674DB276">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3" w:name="bookmark239"/>
      <w:bookmarkEnd w:id="3"/>
      <w:bookmarkStart w:id="4" w:name="_Toc10721"/>
      <w:r>
        <w:rPr>
          <w:rFonts w:hint="eastAsia" w:ascii="宋体" w:hAnsi="宋体" w:eastAsia="宋体" w:cs="宋体"/>
          <w:sz w:val="30"/>
          <w:szCs w:val="30"/>
          <w:lang w:eastAsia="zh-CN"/>
        </w:rPr>
        <w:t>一、编制背景</w:t>
      </w:r>
      <w:bookmarkEnd w:id="4"/>
    </w:p>
    <w:p w14:paraId="2AC447EA">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5" w:name="bookmark240"/>
      <w:bookmarkEnd w:id="5"/>
      <w:bookmarkStart w:id="6" w:name="_Toc27634"/>
      <w:r>
        <w:rPr>
          <w:rFonts w:hint="eastAsia" w:ascii="宋体" w:hAnsi="宋体" w:eastAsia="宋体" w:cs="宋体"/>
          <w:sz w:val="28"/>
          <w:szCs w:val="28"/>
          <w:lang w:eastAsia="zh-CN"/>
        </w:rPr>
        <w:t>（一）任务由来</w:t>
      </w:r>
      <w:bookmarkEnd w:id="6"/>
    </w:p>
    <w:p w14:paraId="470796D4">
      <w:pPr>
        <w:widowControl w:val="0"/>
        <w:kinsoku/>
        <w:adjustRightInd/>
        <w:snapToGrid/>
        <w:spacing w:line="360" w:lineRule="auto"/>
        <w:ind w:firstLine="560" w:firstLineChars="200"/>
        <w:jc w:val="both"/>
        <w:rPr>
          <w:rFonts w:ascii="宋体" w:hAnsi="宋体" w:cs="宋体"/>
          <w:sz w:val="28"/>
          <w:szCs w:val="28"/>
          <w:lang w:eastAsia="zh-CN"/>
        </w:rPr>
      </w:pPr>
      <w:r>
        <w:rPr>
          <w:rFonts w:hint="eastAsia" w:ascii="宋体" w:hAnsi="宋体" w:cs="宋体"/>
          <w:sz w:val="28"/>
          <w:szCs w:val="28"/>
          <w:lang w:eastAsia="zh-CN"/>
        </w:rPr>
        <w:t>为了有效保护及科学、合理地开发利用青海省格尔木市茶格高速南建筑用砂2#矿矿产资源，编制《</w:t>
      </w:r>
      <w:r>
        <w:rPr>
          <w:rFonts w:hint="eastAsia" w:ascii="宋体" w:hAnsi="宋体" w:eastAsia="宋体" w:cs="宋体"/>
          <w:spacing w:val="2"/>
          <w:sz w:val="28"/>
          <w:szCs w:val="28"/>
          <w:lang w:eastAsia="zh-CN"/>
        </w:rPr>
        <w:t>格尔木昆鹏能源开发建设有限公司青海省格尔木市茶格高速南建筑用砂2#矿</w:t>
      </w:r>
      <w:r>
        <w:rPr>
          <w:rFonts w:ascii="宋体" w:hAnsi="宋体" w:eastAsia="宋体" w:cs="宋体"/>
          <w:spacing w:val="2"/>
          <w:sz w:val="28"/>
          <w:szCs w:val="28"/>
          <w:lang w:eastAsia="zh-CN"/>
        </w:rPr>
        <w:t>矿区生态修复方案</w:t>
      </w:r>
      <w:r>
        <w:rPr>
          <w:rFonts w:hint="eastAsia" w:ascii="宋体" w:hAnsi="宋体" w:cs="宋体"/>
          <w:sz w:val="28"/>
          <w:szCs w:val="28"/>
          <w:lang w:eastAsia="zh-CN"/>
        </w:rPr>
        <w:t>》，其目的是为矿山的合理开发利用和开采监管提供科学依据。</w:t>
      </w:r>
    </w:p>
    <w:p w14:paraId="09320D0C">
      <w:pPr>
        <w:widowControl w:val="0"/>
        <w:kinsoku/>
        <w:adjustRightInd/>
        <w:snapToGrid/>
        <w:spacing w:line="360" w:lineRule="auto"/>
        <w:ind w:firstLine="572" w:firstLineChars="200"/>
        <w:jc w:val="both"/>
        <w:rPr>
          <w:rFonts w:hint="eastAsia" w:ascii="宋体" w:hAnsi="宋体" w:eastAsia="宋体" w:cs="宋体"/>
          <w:sz w:val="28"/>
          <w:szCs w:val="28"/>
          <w:lang w:eastAsia="zh-CN"/>
        </w:rPr>
      </w:pPr>
      <w:r>
        <w:rPr>
          <w:rFonts w:ascii="宋体" w:hAnsi="宋体" w:eastAsia="宋体" w:cs="宋体"/>
          <w:spacing w:val="3"/>
          <w:sz w:val="28"/>
          <w:szCs w:val="28"/>
          <w:lang w:eastAsia="zh-CN"/>
        </w:rPr>
        <w:t>根据《自然资源部关于进一步加强生产矿山土地复垦与生态修复</w:t>
      </w:r>
      <w:r>
        <w:rPr>
          <w:rFonts w:ascii="宋体" w:hAnsi="宋体" w:eastAsia="宋体" w:cs="宋体"/>
          <w:spacing w:val="2"/>
          <w:sz w:val="28"/>
          <w:szCs w:val="28"/>
          <w:lang w:eastAsia="zh-CN"/>
        </w:rPr>
        <w:t>监管工作的通知（征求意见稿）》“采矿权人应当在申请办理采矿许可证前，自行或委托具备相应技术条件和能力的单位按照矿区生态修复方案编制指</w:t>
      </w:r>
      <w:r>
        <w:rPr>
          <w:rFonts w:ascii="宋体" w:hAnsi="宋体" w:eastAsia="宋体" w:cs="宋体"/>
          <w:spacing w:val="10"/>
          <w:sz w:val="28"/>
          <w:szCs w:val="28"/>
          <w:lang w:eastAsia="zh-CN"/>
        </w:rPr>
        <w:t>南及有关技术标准编制方案”。为此，受</w:t>
      </w:r>
      <w:r>
        <w:rPr>
          <w:rFonts w:hint="eastAsia" w:ascii="宋体" w:hAnsi="宋体" w:eastAsia="宋体" w:cs="宋体"/>
          <w:spacing w:val="10"/>
          <w:sz w:val="28"/>
          <w:szCs w:val="28"/>
          <w:lang w:eastAsia="zh-CN"/>
        </w:rPr>
        <w:t>格尔木昆鹏能源开发建设有限公司</w:t>
      </w:r>
      <w:r>
        <w:rPr>
          <w:rFonts w:ascii="宋体" w:hAnsi="宋体" w:eastAsia="宋体" w:cs="宋体"/>
          <w:spacing w:val="10"/>
          <w:sz w:val="28"/>
          <w:szCs w:val="28"/>
          <w:lang w:eastAsia="zh-CN"/>
        </w:rPr>
        <w:t>委</w:t>
      </w:r>
      <w:r>
        <w:rPr>
          <w:rFonts w:ascii="宋体" w:hAnsi="宋体" w:eastAsia="宋体" w:cs="宋体"/>
          <w:spacing w:val="2"/>
          <w:sz w:val="28"/>
          <w:szCs w:val="28"/>
          <w:lang w:eastAsia="zh-CN"/>
        </w:rPr>
        <w:t>托，</w:t>
      </w:r>
      <w:r>
        <w:rPr>
          <w:rFonts w:hint="eastAsia" w:ascii="宋体" w:hAnsi="宋体" w:eastAsia="宋体" w:cs="宋体"/>
          <w:spacing w:val="2"/>
          <w:sz w:val="28"/>
          <w:szCs w:val="28"/>
          <w:lang w:eastAsia="zh-CN"/>
        </w:rPr>
        <w:t>青海禹湃工程咨询有限公司</w:t>
      </w:r>
      <w:r>
        <w:rPr>
          <w:rFonts w:ascii="宋体" w:hAnsi="宋体" w:eastAsia="宋体" w:cs="宋体"/>
          <w:spacing w:val="2"/>
          <w:sz w:val="28"/>
          <w:szCs w:val="28"/>
          <w:lang w:eastAsia="zh-CN"/>
        </w:rPr>
        <w:t>编制了《</w:t>
      </w:r>
      <w:r>
        <w:rPr>
          <w:rFonts w:hint="eastAsia" w:ascii="宋体" w:hAnsi="宋体" w:eastAsia="宋体" w:cs="宋体"/>
          <w:spacing w:val="2"/>
          <w:sz w:val="28"/>
          <w:szCs w:val="28"/>
          <w:lang w:eastAsia="zh-CN"/>
        </w:rPr>
        <w:t>格尔木昆鹏能源开发建设有限公司青海省格尔木市茶格高速南建筑用砂2#矿</w:t>
      </w:r>
      <w:r>
        <w:rPr>
          <w:rFonts w:ascii="宋体" w:hAnsi="宋体" w:eastAsia="宋体" w:cs="宋体"/>
          <w:spacing w:val="2"/>
          <w:sz w:val="28"/>
          <w:szCs w:val="28"/>
          <w:lang w:eastAsia="zh-CN"/>
        </w:rPr>
        <w:t>矿区生态修复方案》</w:t>
      </w:r>
      <w:r>
        <w:rPr>
          <w:rFonts w:ascii="宋体" w:hAnsi="宋体" w:eastAsia="宋体" w:cs="宋体"/>
          <w:spacing w:val="-2"/>
          <w:sz w:val="28"/>
          <w:szCs w:val="28"/>
          <w:lang w:eastAsia="zh-CN"/>
        </w:rPr>
        <w:t>（以下称《方案》）。</w:t>
      </w:r>
    </w:p>
    <w:p w14:paraId="602B4A84">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7" w:name="_Toc8816"/>
      <w:r>
        <w:rPr>
          <w:rFonts w:hint="eastAsia" w:ascii="宋体" w:hAnsi="宋体" w:eastAsia="宋体" w:cs="宋体"/>
          <w:sz w:val="28"/>
          <w:szCs w:val="28"/>
          <w:lang w:eastAsia="zh-CN"/>
        </w:rPr>
        <w:t>（二）编制目的</w:t>
      </w:r>
      <w:bookmarkEnd w:id="7"/>
    </w:p>
    <w:p w14:paraId="77D69CE4">
      <w:pPr>
        <w:widowControl w:val="0"/>
        <w:kinsoku/>
        <w:adjustRightInd/>
        <w:snapToGrid/>
        <w:spacing w:line="360" w:lineRule="auto"/>
        <w:ind w:firstLine="560" w:firstLineChars="200"/>
        <w:jc w:val="both"/>
        <w:rPr>
          <w:rFonts w:ascii="宋体" w:hAnsi="宋体" w:cs="宋体"/>
          <w:sz w:val="28"/>
          <w:szCs w:val="28"/>
          <w:lang w:eastAsia="zh-CN"/>
        </w:rPr>
      </w:pPr>
      <w:r>
        <w:rPr>
          <w:rFonts w:hint="eastAsia" w:ascii="宋体" w:hAnsi="宋体" w:cs="宋体"/>
          <w:sz w:val="28"/>
          <w:szCs w:val="28"/>
          <w:lang w:eastAsia="zh-CN"/>
        </w:rPr>
        <w:t>编制《方案》的目的是为实施青海省格尔木市茶格高速南建筑用砂2#矿矿区生态修复提供重要的科学依据，实现矿产资源、土地资源的合理开发利用及矿区生态环境的有效保护，为社会经济的可持续发展服务，同时为矿产资源行政主管部门依法管理提供技术依据。</w:t>
      </w:r>
    </w:p>
    <w:p w14:paraId="7F4DC917">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8" w:name="_Toc25364"/>
      <w:r>
        <w:rPr>
          <w:rFonts w:hint="eastAsia" w:ascii="宋体" w:hAnsi="宋体" w:eastAsia="宋体" w:cs="宋体"/>
          <w:sz w:val="28"/>
          <w:szCs w:val="28"/>
          <w:lang w:eastAsia="zh-CN"/>
        </w:rPr>
        <w:t>（三）编制过程</w:t>
      </w:r>
      <w:bookmarkEnd w:id="8"/>
    </w:p>
    <w:p w14:paraId="662877B5">
      <w:pPr>
        <w:widowControl w:val="0"/>
        <w:kinsoku/>
        <w:adjustRightInd/>
        <w:snapToGrid/>
        <w:spacing w:line="360" w:lineRule="auto"/>
        <w:ind w:firstLine="560" w:firstLineChars="200"/>
        <w:jc w:val="both"/>
        <w:rPr>
          <w:rFonts w:ascii="宋体" w:hAnsi="宋体" w:cs="宋体"/>
          <w:sz w:val="28"/>
          <w:szCs w:val="28"/>
          <w:lang w:eastAsia="zh-CN"/>
        </w:rPr>
      </w:pPr>
      <w:r>
        <w:rPr>
          <w:rFonts w:hint="eastAsia" w:ascii="宋体" w:hAnsi="宋体" w:eastAsia="宋体" w:cs="宋体"/>
          <w:sz w:val="28"/>
          <w:szCs w:val="28"/>
          <w:lang w:eastAsia="zh-CN"/>
        </w:rPr>
        <w:t>1、</w:t>
      </w:r>
      <w:r>
        <w:rPr>
          <w:rFonts w:hint="eastAsia" w:ascii="宋体" w:hAnsi="宋体" w:cs="宋体"/>
          <w:sz w:val="28"/>
          <w:szCs w:val="28"/>
          <w:lang w:eastAsia="zh-CN"/>
        </w:rPr>
        <w:t>工作方法</w:t>
      </w:r>
    </w:p>
    <w:p w14:paraId="39853A70">
      <w:pPr>
        <w:widowControl w:val="0"/>
        <w:kinsoku/>
        <w:adjustRightInd/>
        <w:snapToGrid/>
        <w:spacing w:line="360" w:lineRule="auto"/>
        <w:ind w:firstLine="560" w:firstLineChars="200"/>
        <w:jc w:val="both"/>
        <w:rPr>
          <w:rFonts w:ascii="宋体" w:hAnsi="宋体" w:cs="宋体"/>
          <w:sz w:val="28"/>
          <w:szCs w:val="28"/>
          <w:lang w:eastAsia="zh-CN"/>
        </w:rPr>
      </w:pPr>
      <w:r>
        <w:rPr>
          <w:rFonts w:hint="eastAsia" w:ascii="宋体" w:hAnsi="宋体" w:cs="宋体"/>
          <w:sz w:val="28"/>
          <w:szCs w:val="28"/>
          <w:lang w:eastAsia="zh-CN"/>
        </w:rPr>
        <w:t>在接受委托后，青海禹湃工程咨询有限公司立即组建了项目组，方案编制工作的人员由王君杰、毛康乐、巩建强、黄瑞斌组成，</w:t>
      </w:r>
      <w:r>
        <w:rPr>
          <w:rFonts w:hint="eastAsia" w:ascii="宋体" w:hAnsi="宋体" w:eastAsia="宋体" w:cs="宋体"/>
          <w:sz w:val="28"/>
          <w:szCs w:val="28"/>
          <w:lang w:eastAsia="zh-CN"/>
        </w:rPr>
        <w:t>其中王君杰负责文本的编制设计，毛康乐负责制图设计，巩建强负责校核，黄瑞斌负责最终方案核定、提交。本方案编制、审核人员情况及分工见表0-1。</w:t>
      </w:r>
    </w:p>
    <w:p w14:paraId="471FB2CE">
      <w:pPr>
        <w:widowControl w:val="0"/>
        <w:kinsoku/>
        <w:adjustRightInd/>
        <w:snapToGrid/>
        <w:jc w:val="center"/>
        <w:rPr>
          <w:rFonts w:hint="eastAsia" w:ascii="宋体" w:hAnsi="宋体" w:eastAsia="宋体" w:cs="宋体"/>
          <w:b/>
          <w:bCs/>
          <w:lang w:eastAsia="zh-CN"/>
        </w:rPr>
      </w:pPr>
      <w:r>
        <w:rPr>
          <w:rFonts w:hint="eastAsia" w:ascii="宋体" w:hAnsi="宋体" w:eastAsia="宋体" w:cs="宋体"/>
          <w:b/>
          <w:bCs/>
          <w:lang w:eastAsia="zh-CN"/>
        </w:rPr>
        <w:t>表0-1  方案编制、审核人员及分工情况表</w:t>
      </w:r>
    </w:p>
    <w:tbl>
      <w:tblPr>
        <w:tblStyle w:val="22"/>
        <w:tblW w:w="832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45"/>
        <w:gridCol w:w="1769"/>
        <w:gridCol w:w="2573"/>
        <w:gridCol w:w="2340"/>
      </w:tblGrid>
      <w:tr w14:paraId="77DB4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645" w:type="dxa"/>
            <w:vAlign w:val="center"/>
          </w:tcPr>
          <w:p w14:paraId="261B53B1">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姓名</w:t>
            </w:r>
          </w:p>
        </w:tc>
        <w:tc>
          <w:tcPr>
            <w:tcW w:w="1769" w:type="dxa"/>
            <w:vAlign w:val="center"/>
          </w:tcPr>
          <w:p w14:paraId="01667264">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职务/职称</w:t>
            </w:r>
          </w:p>
        </w:tc>
        <w:tc>
          <w:tcPr>
            <w:tcW w:w="2573" w:type="dxa"/>
            <w:vAlign w:val="center"/>
          </w:tcPr>
          <w:p w14:paraId="523F0593">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专业</w:t>
            </w:r>
          </w:p>
        </w:tc>
        <w:tc>
          <w:tcPr>
            <w:tcW w:w="2340" w:type="dxa"/>
            <w:vAlign w:val="center"/>
          </w:tcPr>
          <w:p w14:paraId="56C5A86D">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分工</w:t>
            </w:r>
          </w:p>
        </w:tc>
      </w:tr>
      <w:tr w14:paraId="14F5C8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2" w:hRule="atLeast"/>
        </w:trPr>
        <w:tc>
          <w:tcPr>
            <w:tcW w:w="1645" w:type="dxa"/>
            <w:vAlign w:val="center"/>
          </w:tcPr>
          <w:p w14:paraId="3196E217">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王君杰</w:t>
            </w:r>
          </w:p>
        </w:tc>
        <w:tc>
          <w:tcPr>
            <w:tcW w:w="1769" w:type="dxa"/>
            <w:vAlign w:val="center"/>
          </w:tcPr>
          <w:p w14:paraId="046C6599">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项目负责人</w:t>
            </w:r>
          </w:p>
        </w:tc>
        <w:tc>
          <w:tcPr>
            <w:tcW w:w="2573" w:type="dxa"/>
            <w:vAlign w:val="center"/>
          </w:tcPr>
          <w:p w14:paraId="4D825EDF">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地质矿产</w:t>
            </w:r>
          </w:p>
        </w:tc>
        <w:tc>
          <w:tcPr>
            <w:tcW w:w="2340" w:type="dxa"/>
            <w:vAlign w:val="center"/>
          </w:tcPr>
          <w:p w14:paraId="1D7E6502">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负责文本编制设计</w:t>
            </w:r>
          </w:p>
        </w:tc>
      </w:tr>
      <w:tr w14:paraId="7EEEEB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2" w:hRule="atLeast"/>
        </w:trPr>
        <w:tc>
          <w:tcPr>
            <w:tcW w:w="1645" w:type="dxa"/>
            <w:vAlign w:val="center"/>
          </w:tcPr>
          <w:p w14:paraId="342B2091">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毛康乐</w:t>
            </w:r>
          </w:p>
        </w:tc>
        <w:tc>
          <w:tcPr>
            <w:tcW w:w="1769" w:type="dxa"/>
            <w:vAlign w:val="center"/>
          </w:tcPr>
          <w:p w14:paraId="758D320A">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工程师</w:t>
            </w:r>
          </w:p>
        </w:tc>
        <w:tc>
          <w:tcPr>
            <w:tcW w:w="2573" w:type="dxa"/>
            <w:vAlign w:val="center"/>
          </w:tcPr>
          <w:p w14:paraId="44C5A1E5">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地理信息</w:t>
            </w:r>
          </w:p>
        </w:tc>
        <w:tc>
          <w:tcPr>
            <w:tcW w:w="2340" w:type="dxa"/>
            <w:vAlign w:val="center"/>
          </w:tcPr>
          <w:p w14:paraId="6CE09632">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负责制图设计</w:t>
            </w:r>
          </w:p>
        </w:tc>
      </w:tr>
      <w:tr w14:paraId="18739C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2" w:hRule="atLeast"/>
        </w:trPr>
        <w:tc>
          <w:tcPr>
            <w:tcW w:w="1645" w:type="dxa"/>
            <w:vAlign w:val="center"/>
          </w:tcPr>
          <w:p w14:paraId="2EC7F12E">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巩建强</w:t>
            </w:r>
          </w:p>
        </w:tc>
        <w:tc>
          <w:tcPr>
            <w:tcW w:w="1769" w:type="dxa"/>
            <w:vAlign w:val="center"/>
          </w:tcPr>
          <w:p w14:paraId="477C3393">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助理工程师</w:t>
            </w:r>
          </w:p>
        </w:tc>
        <w:tc>
          <w:tcPr>
            <w:tcW w:w="2573" w:type="dxa"/>
            <w:vAlign w:val="center"/>
          </w:tcPr>
          <w:p w14:paraId="02D35B48">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水工环</w:t>
            </w:r>
          </w:p>
        </w:tc>
        <w:tc>
          <w:tcPr>
            <w:tcW w:w="2340" w:type="dxa"/>
            <w:vAlign w:val="center"/>
          </w:tcPr>
          <w:p w14:paraId="01619A93">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负责报告校核</w:t>
            </w:r>
          </w:p>
        </w:tc>
      </w:tr>
      <w:tr w14:paraId="31DD41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1645" w:type="dxa"/>
            <w:vAlign w:val="center"/>
          </w:tcPr>
          <w:p w14:paraId="264698BB">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黄瑞斌</w:t>
            </w:r>
          </w:p>
        </w:tc>
        <w:tc>
          <w:tcPr>
            <w:tcW w:w="1769" w:type="dxa"/>
            <w:vAlign w:val="center"/>
          </w:tcPr>
          <w:p w14:paraId="7D5E0F49">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助理工程师</w:t>
            </w:r>
          </w:p>
        </w:tc>
        <w:tc>
          <w:tcPr>
            <w:tcW w:w="2573" w:type="dxa"/>
            <w:vAlign w:val="center"/>
          </w:tcPr>
          <w:p w14:paraId="1C7D4F45">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环境工程</w:t>
            </w:r>
          </w:p>
        </w:tc>
        <w:tc>
          <w:tcPr>
            <w:tcW w:w="2340" w:type="dxa"/>
            <w:vAlign w:val="center"/>
          </w:tcPr>
          <w:p w14:paraId="0E56C557">
            <w:pPr>
              <w:widowControl w:val="0"/>
              <w:kinsoku/>
              <w:adjustRightInd/>
              <w:snapToGrid/>
              <w:jc w:val="center"/>
              <w:rPr>
                <w:rFonts w:hint="eastAsia" w:ascii="宋体" w:hAnsi="宋体" w:eastAsia="宋体" w:cs="宋体"/>
                <w:lang w:eastAsia="zh-CN"/>
              </w:rPr>
            </w:pPr>
            <w:r>
              <w:rPr>
                <w:rFonts w:hint="eastAsia" w:ascii="宋体" w:hAnsi="宋体" w:eastAsia="宋体" w:cs="宋体"/>
                <w:lang w:eastAsia="zh-CN"/>
              </w:rPr>
              <w:t>方案核定、提交</w:t>
            </w:r>
          </w:p>
        </w:tc>
      </w:tr>
    </w:tbl>
    <w:p w14:paraId="40B3289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项目组在充分收集、分析与评估区有关的自然、地质、工程等资料的基础上，于2025年11月20日开展野外调查工作，野外工作采用矿区1：</w:t>
      </w:r>
      <w:r>
        <w:rPr>
          <w:rFonts w:hint="eastAsia" w:ascii="宋体" w:hAnsi="宋体" w:eastAsia="宋体" w:cs="宋体"/>
          <w:sz w:val="28"/>
          <w:szCs w:val="28"/>
          <w:lang w:val="en-US" w:eastAsia="zh-CN"/>
        </w:rPr>
        <w:t>5</w:t>
      </w:r>
      <w:r>
        <w:rPr>
          <w:rFonts w:hint="eastAsia" w:ascii="宋体" w:hAnsi="宋体" w:eastAsia="宋体" w:cs="宋体"/>
          <w:sz w:val="28"/>
          <w:szCs w:val="28"/>
          <w:lang w:eastAsia="zh-CN"/>
        </w:rPr>
        <w:t>00地形地质图为底图，采用高精度GPS进行定点，结合无人机，对矿山及周边区域进行详细调查。调查内容主要有：地形地貌、地层岩性、岩土体特征、地质构造、水文地质及工程地质条件、矿区土地利用现状、地貌景观、压占和挖损土地类型和规模、植被资源的破坏现状等。随后进行内部资料综合整理、图件编制及方案的编制工作。</w:t>
      </w:r>
    </w:p>
    <w:p w14:paraId="342855E9">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主要工作内容为：</w:t>
      </w:r>
    </w:p>
    <w:p w14:paraId="0A74A291">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⑴搜集青海省格尔木市茶格高速南建筑用砂2#矿矿山概况、矿山自然地理、矿山地质环境条件等方面的有关资料，基础调查内容包括自然生态状况、社会经济、矿产资源开发利用现状、土地利用现状、矿山生态问题、以往工作开展情况。</w:t>
      </w:r>
    </w:p>
    <w:p w14:paraId="378D3CC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⑵公众参与调查，主要是收集矿区周边区域公众对生态修复项目占地及开展后期生态修复工作的意见和建议，以明确生态修复的可行性。</w:t>
      </w:r>
    </w:p>
    <w:p w14:paraId="4060E57F">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⑶分析评价：通过问题识别与诊断确立生态修复本底、建立参照生态系统分类评价，确定实施区域为采矿权范围及采矿影响活动区，确定修复总体目标、绩效目标、年度目标。</w:t>
      </w:r>
    </w:p>
    <w:p w14:paraId="60511F1D">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⑷对青海省格尔木市茶格高速南建筑用砂2#矿采矿活动可能影响的范围内开展矿山地质环境调查；进行现状评估和预测评估，包括分析评估区地质环境背景，对矿山活动引发或加剧地质环境问题及其影响做出现状评估和预测评估，按照恢复治理分区原则进行合理的分区和工程部署，进而合理部署矿区生态修复工程及监测点位，实现矿产资源的合理开发利用及矿山地质环境的有效保护；</w:t>
      </w:r>
    </w:p>
    <w:p w14:paraId="23237D8B">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⑸通过土地利用现状调查和资料分析，确定矿山开采导致的土地损毁情况，确定修复区和修复责任范围，并对青海省格尔木市茶格高速南建筑用砂2#矿进行生态修复方向可行性分析，根据生态修复适宜性评价，确定修复方向，布设修复措施。最终恢复土地的生产力，将工程对当地生态环境影响减小到最低程度，改善当地生态环境质量。</w:t>
      </w:r>
    </w:p>
    <w:p w14:paraId="23940774">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⑹通过项目组成员收集的资料编制完成了《格尔木昆鹏能源开发建设有限公司青海省格尔木市茶格高速南建筑用砂2#矿矿区生态修复方案》。</w:t>
      </w:r>
    </w:p>
    <w:p w14:paraId="00EEAB56">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2、工作质量评述</w:t>
      </w:r>
    </w:p>
    <w:p w14:paraId="5F2FAC9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本项目对《青海省格尔木市茶格高速南建筑用砂2#矿矿产资源开采方案》等主要设计文件进行深入研究，严格按照《青海省自然资源厅关于做好矿产资源法实施过渡期矿区生态修复方案评审工作的通知》及其附件《矿区生态修复方案编制指南（临时）》等要求，完成了《格尔木昆鹏能源开发建设有限公司青海省格尔木市茶格高速南建筑用砂2#矿矿区生态修复方案》的编制工作。</w:t>
      </w:r>
    </w:p>
    <w:p w14:paraId="42FC754B">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本方案编制在全面收集矿区相关资料以及在地质环境调查、土地利用状况调查的基础上，严格按照《矿区生态修复方案编制指南（临时）》及其他国家现行有关规范或技术要求进行编制的，该报告资料真实可信，数据准确，质量满足要求，完成了预期的工作任务，达到了工作目的。</w:t>
      </w:r>
    </w:p>
    <w:p w14:paraId="6A2CA725">
      <w:pPr>
        <w:spacing w:line="5570" w:lineRule="exact"/>
        <w:rPr>
          <w:lang w:eastAsia="zh-CN"/>
        </w:rPr>
      </w:pPr>
      <w:r>
        <w:rPr>
          <w:position w:val="-111"/>
        </w:rPr>
        <w:drawing>
          <wp:anchor distT="0" distB="0" distL="0" distR="0" simplePos="0" relativeHeight="251666432" behindDoc="1" locked="0" layoutInCell="1" allowOverlap="1">
            <wp:simplePos x="0" y="0"/>
            <wp:positionH relativeFrom="column">
              <wp:posOffset>129540</wp:posOffset>
            </wp:positionH>
            <wp:positionV relativeFrom="paragraph">
              <wp:posOffset>1905</wp:posOffset>
            </wp:positionV>
            <wp:extent cx="5186680" cy="3477260"/>
            <wp:effectExtent l="0" t="0" r="13970" b="8890"/>
            <wp:wrapNone/>
            <wp:docPr id="16" name="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 16"/>
                    <pic:cNvPicPr>
                      <a:picLocks noChangeAspect="1"/>
                    </pic:cNvPicPr>
                  </pic:nvPicPr>
                  <pic:blipFill>
                    <a:blip r:embed="rId12"/>
                    <a:stretch>
                      <a:fillRect/>
                    </a:stretch>
                  </pic:blipFill>
                  <pic:spPr>
                    <a:xfrm>
                      <a:off x="0" y="0"/>
                      <a:ext cx="5186680" cy="3477260"/>
                    </a:xfrm>
                    <a:prstGeom prst="rect">
                      <a:avLst/>
                    </a:prstGeom>
                  </pic:spPr>
                </pic:pic>
              </a:graphicData>
            </a:graphic>
          </wp:anchor>
        </w:drawing>
      </w:r>
    </w:p>
    <w:p w14:paraId="1AD3582C">
      <w:pPr>
        <w:widowControl w:val="0"/>
        <w:kinsoku/>
        <w:adjustRightInd/>
        <w:snapToGrid/>
        <w:jc w:val="center"/>
        <w:rPr>
          <w:rFonts w:hint="eastAsia" w:ascii="宋体" w:hAnsi="宋体" w:eastAsia="宋体" w:cs="宋体"/>
          <w:b/>
          <w:bCs/>
          <w:lang w:eastAsia="zh-CN"/>
        </w:rPr>
      </w:pPr>
      <w:r>
        <w:rPr>
          <w:rFonts w:hint="eastAsia" w:ascii="宋体" w:hAnsi="宋体" w:eastAsia="宋体" w:cs="宋体"/>
          <w:b/>
          <w:bCs/>
          <w:lang w:eastAsia="zh-CN"/>
        </w:rPr>
        <w:t>图0-1  矿区生态修复方案编制流程图</w:t>
      </w:r>
    </w:p>
    <w:p w14:paraId="38EA5CC9">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9" w:name="_Toc9791"/>
      <w:r>
        <w:rPr>
          <w:rFonts w:hint="eastAsia" w:ascii="宋体" w:hAnsi="宋体" w:eastAsia="宋体" w:cs="宋体"/>
          <w:sz w:val="28"/>
          <w:szCs w:val="28"/>
          <w:lang w:eastAsia="zh-CN"/>
        </w:rPr>
        <w:t>（四）编制依据</w:t>
      </w:r>
      <w:bookmarkEnd w:id="9"/>
    </w:p>
    <w:p w14:paraId="11F66BD4">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1、法律法规</w:t>
      </w:r>
    </w:p>
    <w:p w14:paraId="35937191">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⑴《中华人民共和国矿产资源法》（修正）（2025年7月1日）；</w:t>
      </w:r>
    </w:p>
    <w:p w14:paraId="7478A170">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⑵《中华人民共和国矿山安全法》（2009年8月27日修订）；</w:t>
      </w:r>
    </w:p>
    <w:p w14:paraId="52D636C1">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⑶《中华人民共和国水法》（2016年7月2日修订）；</w:t>
      </w:r>
    </w:p>
    <w:p w14:paraId="7EFF67B2">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⑷《中华人民共和国土地管理法》（2019年8月26日，第十三届全国人民代表大会常务委员会第十二次会议第三次修正）；</w:t>
      </w:r>
    </w:p>
    <w:p w14:paraId="273A12D9">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⑸《中华人民共和国水土保持法》（2011年3月1日）；</w:t>
      </w:r>
    </w:p>
    <w:p w14:paraId="79F1D9FB">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⑹《中华人民共和国环境保护法》（2014年4月24日修订，自2015年1月1日起施行）；</w:t>
      </w:r>
    </w:p>
    <w:p w14:paraId="4E447981">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⑺《中华人民共和国大气污染防治法》（2015年8月29日修订，2016年1月1日起实施）；</w:t>
      </w:r>
    </w:p>
    <w:p w14:paraId="33F62580">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⑻《中华人民共和国固体废物污染环境防治法》（2020年4月29日修订，2020年9月1日起施行）；</w:t>
      </w:r>
    </w:p>
    <w:p w14:paraId="05097EF6">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⑼《中华人民共和国土壤污染防治法》（2018年8月31日第十三届全国人民代表大会常务委员会第五次会议通过）；</w:t>
      </w:r>
    </w:p>
    <w:p w14:paraId="58586694">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⑽《中华人民共和国环境影响评价法》（2018年12月29日，第十三届全国人民代表大会常务委员会第七次会议第二次修正）。</w:t>
      </w:r>
    </w:p>
    <w:p w14:paraId="526412FB">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2、部门规章</w:t>
      </w:r>
    </w:p>
    <w:p w14:paraId="64391181">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⑴《中华人民共和国土地管理法实施条例》（2021年4月21日修订，自2021年9月1日起施行）；</w:t>
      </w:r>
    </w:p>
    <w:p w14:paraId="7C61786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⑵《土地复垦条例实施办法》（2019年7月16日修改）；</w:t>
      </w:r>
    </w:p>
    <w:p w14:paraId="4254C888">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⑶《地质灾害防治条例》（国务院令第394号），2003年11月29日国务院常务会议通过，自2004年3月1日起施行；</w:t>
      </w:r>
    </w:p>
    <w:p w14:paraId="499DDD67">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⑷《矿山地质环境保护规定》（国土资源部令第44号）2019年7月16日修订版；</w:t>
      </w:r>
    </w:p>
    <w:p w14:paraId="484383A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⑸《矿山生态环境保护与污染防治技术政策》（环发〔2005〕109号）；</w:t>
      </w:r>
    </w:p>
    <w:p w14:paraId="611E38DE">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⑹《关于逐步建立矿山环境治理和生态恢复责任机制的指导意见》（财建〔2006〕215号）；</w:t>
      </w:r>
    </w:p>
    <w:p w14:paraId="5F78740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⑺《关于取消矿山地质环境治理恢复保证金建立矿山地质环境治理恢复基金的指导意见》（财建[2017]638）；</w:t>
      </w:r>
    </w:p>
    <w:p w14:paraId="2B078F5A">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⑻《矿山生产建设规模分类》（国土资发〔2004〕208号）；</w:t>
      </w:r>
    </w:p>
    <w:p w14:paraId="5C1337A0">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⑼《土地复垦质量控制标准》（国土资源部TD/T1036-2013）。</w:t>
      </w:r>
    </w:p>
    <w:p w14:paraId="6849DD59">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3、政策性文件</w:t>
      </w:r>
    </w:p>
    <w:p w14:paraId="74BD9292">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bookmarkStart w:id="10" w:name="bookmark241"/>
      <w:bookmarkEnd w:id="10"/>
      <w:r>
        <w:rPr>
          <w:rFonts w:hint="eastAsia" w:ascii="宋体" w:hAnsi="宋体" w:eastAsia="宋体" w:cs="宋体"/>
          <w:sz w:val="28"/>
          <w:szCs w:val="28"/>
          <w:lang w:eastAsia="zh-CN"/>
        </w:rPr>
        <w:t>⑴《财政部国土资源部关于印发土地开发整理项目预算定额标准的通知》（财综〔2012〕128号）；</w:t>
      </w:r>
    </w:p>
    <w:p w14:paraId="27ACD2D1">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⑵《关于加强生产生产项目土地复垦管理工作的通知》（国土资发〔2006〕225号）；</w:t>
      </w:r>
    </w:p>
    <w:p w14:paraId="3B888B9A">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⑶《青海省国土资源厅关于加强土地复垦管理工作的通知》（青国土资，2016年8月2日）；</w:t>
      </w:r>
    </w:p>
    <w:p w14:paraId="00605C4E">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⑷《关于调整青海省建设工程预算定额人工费单价的通知》（青建工〔2016〕443号）；</w:t>
      </w:r>
    </w:p>
    <w:p w14:paraId="0BC1C926">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⑸《关于全面整顿和规范矿产资源开发秩序的通知》（国土资发〔2005〕28号文）；</w:t>
      </w:r>
    </w:p>
    <w:p w14:paraId="244E5BBF">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⑹青海省国土资源厅文件《青海省国土资源厅关于编制矿山地质环境保护与综合治理方案的通知》（青国土资矿〔2007〕256号文）；</w:t>
      </w:r>
    </w:p>
    <w:p w14:paraId="6D22854B">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⑺《关于加强矿山地质环境恢复和综合治理的指导意见》（国土资发〔2016〕63号文）；</w:t>
      </w:r>
    </w:p>
    <w:p w14:paraId="606073CF">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⑻《青海省矿山地质环境恢复治理规程》（DB63/T2073-2022）；</w:t>
      </w:r>
    </w:p>
    <w:p w14:paraId="6F47C176">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⑼《青海省矿山地质环境恢复治理工程验收指南》（DB63/T2072-2022）；</w:t>
      </w:r>
    </w:p>
    <w:p w14:paraId="2ED5AFF9">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⑽《自然资源部关于进一步加强生产矿山生态修复监管工作的通知》（自然资源部2025年7月1日）。</w:t>
      </w:r>
    </w:p>
    <w:p w14:paraId="56CCB0B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4、技术标准与规范</w:t>
      </w:r>
    </w:p>
    <w:p w14:paraId="05A3F40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(1)《土地开发整理项目规划设计规范》（TD/T1012-2000）；</w:t>
      </w:r>
    </w:p>
    <w:p w14:paraId="7DD4CBE9">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bookmarkStart w:id="11" w:name="bookmark242"/>
      <w:bookmarkEnd w:id="11"/>
      <w:r>
        <w:rPr>
          <w:rFonts w:hint="eastAsia" w:ascii="宋体" w:hAnsi="宋体" w:eastAsia="宋体" w:cs="宋体"/>
          <w:sz w:val="28"/>
          <w:szCs w:val="28"/>
          <w:lang w:eastAsia="zh-CN"/>
        </w:rPr>
        <w:t>(2)《开发建设项目水土保持技术规范》（GB50433-2008）；</w:t>
      </w:r>
    </w:p>
    <w:p w14:paraId="679FAC0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(3)《地质灾害危险性评估规范》（GB/T40112-2021）；</w:t>
      </w:r>
    </w:p>
    <w:p w14:paraId="6809CAA1">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(4)《矿山生态修复技术规范第四部分：建材矿山》（TDT1070.4-2022）；</w:t>
      </w:r>
    </w:p>
    <w:p w14:paraId="2787F6F8">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(5)《矿山土地复垦与生态修复监测评价技术规范》（GB/T43935-2024）；</w:t>
      </w:r>
    </w:p>
    <w:p w14:paraId="261A535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(6)《地表水环境质量标准》（GB3838）；</w:t>
      </w:r>
    </w:p>
    <w:p w14:paraId="5AFB58B7">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(7)《地下水环境质量标准》（GB14848）；</w:t>
      </w:r>
    </w:p>
    <w:p w14:paraId="77873BD8">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(8)《土壤环境质量建设用地土壤污染风险管控标准(试行)》（GB36600）；</w:t>
      </w:r>
    </w:p>
    <w:p w14:paraId="1A0FC5BB">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(9)《土地利用现状分类》（GB-T21010-2017）；</w:t>
      </w:r>
    </w:p>
    <w:p w14:paraId="3680B928">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(1</w:t>
      </w:r>
      <w:r>
        <w:rPr>
          <w:rFonts w:hint="eastAsia" w:ascii="宋体" w:hAnsi="宋体" w:eastAsia="宋体" w:cs="宋体"/>
          <w:sz w:val="28"/>
          <w:szCs w:val="28"/>
          <w:lang w:val="en-US" w:eastAsia="zh-CN"/>
        </w:rPr>
        <w:t>0</w:t>
      </w:r>
      <w:r>
        <w:rPr>
          <w:rFonts w:hint="eastAsia" w:ascii="宋体" w:hAnsi="宋体" w:eastAsia="宋体" w:cs="宋体"/>
          <w:sz w:val="28"/>
          <w:szCs w:val="28"/>
          <w:lang w:eastAsia="zh-CN"/>
        </w:rPr>
        <w:t>)《自然生态系统土壤长期定位监测指南》（GB/T32740）；</w:t>
      </w:r>
    </w:p>
    <w:p w14:paraId="332E8F36">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(1</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)《土壤质量决策单元-多点增量采样法》（GB/T42489）；</w:t>
      </w:r>
    </w:p>
    <w:p w14:paraId="1C38D087">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(1</w:t>
      </w: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)《生产建设项目水土保持监测与评价标准》（GB/T51240）；</w:t>
      </w:r>
    </w:p>
    <w:p w14:paraId="4AA4909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(1</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)《土地复垦方案编制规程第1部分：通则》（TD/T1031.1-2011）；</w:t>
      </w:r>
    </w:p>
    <w:p w14:paraId="264B46D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(1</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)《土地复垦质量控制标准》（TD/T1036-2013）；</w:t>
      </w:r>
    </w:p>
    <w:p w14:paraId="30E8C3F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15</w:t>
      </w:r>
      <w:r>
        <w:rPr>
          <w:rFonts w:hint="eastAsia" w:ascii="宋体" w:hAnsi="宋体" w:eastAsia="宋体" w:cs="宋体"/>
          <w:sz w:val="28"/>
          <w:szCs w:val="28"/>
          <w:lang w:eastAsia="zh-CN"/>
        </w:rPr>
        <w:t>)《土地利用动态遥感监测规程》（TD/T1010）；</w:t>
      </w:r>
    </w:p>
    <w:p w14:paraId="6CB21D10">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bookmarkStart w:id="12" w:name="bookmark243"/>
      <w:bookmarkEnd w:id="12"/>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16</w:t>
      </w:r>
      <w:r>
        <w:rPr>
          <w:rFonts w:hint="eastAsia" w:ascii="宋体" w:hAnsi="宋体" w:eastAsia="宋体" w:cs="宋体"/>
          <w:sz w:val="28"/>
          <w:szCs w:val="28"/>
          <w:lang w:eastAsia="zh-CN"/>
        </w:rPr>
        <w:t>)矿山土地复垦基础信息调查规程（TD/T1049）；</w:t>
      </w:r>
    </w:p>
    <w:p w14:paraId="0811DC36">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17</w:t>
      </w:r>
      <w:r>
        <w:rPr>
          <w:rFonts w:hint="eastAsia" w:ascii="宋体" w:hAnsi="宋体" w:eastAsia="宋体" w:cs="宋体"/>
          <w:sz w:val="28"/>
          <w:szCs w:val="28"/>
          <w:lang w:eastAsia="zh-CN"/>
        </w:rPr>
        <w:t>)《第三次全国国土调查技术规程》（TD/T1055）；</w:t>
      </w:r>
    </w:p>
    <w:p w14:paraId="32515876">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18</w:t>
      </w:r>
      <w:r>
        <w:rPr>
          <w:rFonts w:hint="eastAsia" w:ascii="宋体" w:hAnsi="宋体" w:eastAsia="宋体" w:cs="宋体"/>
          <w:sz w:val="28"/>
          <w:szCs w:val="28"/>
          <w:lang w:eastAsia="zh-CN"/>
        </w:rPr>
        <w:t>)《矿山土地复垦基础信息调查规程》（TD/T1049）；</w:t>
      </w:r>
    </w:p>
    <w:p w14:paraId="75BB63C8">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19</w:t>
      </w:r>
      <w:r>
        <w:rPr>
          <w:rFonts w:hint="eastAsia" w:ascii="宋体" w:hAnsi="宋体" w:eastAsia="宋体" w:cs="宋体"/>
          <w:sz w:val="28"/>
          <w:szCs w:val="28"/>
          <w:lang w:eastAsia="zh-CN"/>
        </w:rPr>
        <w:t>)《国土空间生态保护修复工程实施方案编制规程》（TD/T1068）；</w:t>
      </w:r>
    </w:p>
    <w:p w14:paraId="30EFE359">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(2</w:t>
      </w:r>
      <w:r>
        <w:rPr>
          <w:rFonts w:hint="eastAsia" w:ascii="宋体" w:hAnsi="宋体" w:eastAsia="宋体" w:cs="宋体"/>
          <w:sz w:val="28"/>
          <w:szCs w:val="28"/>
          <w:lang w:val="en-US" w:eastAsia="zh-CN"/>
        </w:rPr>
        <w:t>0</w:t>
      </w:r>
      <w:r>
        <w:rPr>
          <w:rFonts w:hint="eastAsia" w:ascii="宋体" w:hAnsi="宋体" w:eastAsia="宋体" w:cs="宋体"/>
          <w:sz w:val="28"/>
          <w:szCs w:val="28"/>
          <w:lang w:eastAsia="zh-CN"/>
        </w:rPr>
        <w:t>)《矿山生态修复工程验收规范》（TD/T1092）；</w:t>
      </w:r>
    </w:p>
    <w:p w14:paraId="7DF19230">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(2</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)《矿山生态修复工程实施方案编制导则》（TD/T1093）；</w:t>
      </w:r>
    </w:p>
    <w:p w14:paraId="378238DE">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(2</w:t>
      </w: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)《矿山地质环境保护与恢复治理方案编制规范》（DZ/T0223-2011）；</w:t>
      </w:r>
    </w:p>
    <w:p w14:paraId="19CC7930">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(2</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)《矿山地质环境监测技术规程》（DZ/T0287）；</w:t>
      </w:r>
    </w:p>
    <w:p w14:paraId="5451E66D">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24</w:t>
      </w:r>
      <w:r>
        <w:rPr>
          <w:rFonts w:hint="eastAsia" w:ascii="宋体" w:hAnsi="宋体" w:eastAsia="宋体" w:cs="宋体"/>
          <w:sz w:val="28"/>
          <w:szCs w:val="28"/>
          <w:lang w:eastAsia="zh-CN"/>
        </w:rPr>
        <w:t>)《地表水环境质量监测技术规范》（HJ91.2）；</w:t>
      </w:r>
    </w:p>
    <w:p w14:paraId="6501C21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25</w:t>
      </w:r>
      <w:r>
        <w:rPr>
          <w:rFonts w:hint="eastAsia" w:ascii="宋体" w:hAnsi="宋体" w:eastAsia="宋体" w:cs="宋体"/>
          <w:sz w:val="28"/>
          <w:szCs w:val="28"/>
          <w:lang w:eastAsia="zh-CN"/>
        </w:rPr>
        <w:t>)《土壤环境监测技术规范》（HJ/T166）；</w:t>
      </w:r>
    </w:p>
    <w:p w14:paraId="34534F17">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26</w:t>
      </w:r>
      <w:r>
        <w:rPr>
          <w:rFonts w:hint="eastAsia" w:ascii="宋体" w:hAnsi="宋体" w:eastAsia="宋体" w:cs="宋体"/>
          <w:sz w:val="28"/>
          <w:szCs w:val="28"/>
          <w:lang w:eastAsia="zh-CN"/>
        </w:rPr>
        <w:t>)矿区生态修复方案编制指南（临时）》（自然资源部2025.9）；</w:t>
      </w:r>
    </w:p>
    <w:p w14:paraId="025628D4">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27</w:t>
      </w:r>
      <w:r>
        <w:rPr>
          <w:rFonts w:hint="eastAsia" w:ascii="宋体" w:hAnsi="宋体" w:eastAsia="宋体" w:cs="宋体"/>
          <w:sz w:val="28"/>
          <w:szCs w:val="28"/>
          <w:lang w:eastAsia="zh-CN"/>
        </w:rPr>
        <w:t>)《青海省自然资源厅关于做好矿产资源法实施过渡期矿区生态修复方案评审工作的通知》。</w:t>
      </w:r>
    </w:p>
    <w:p w14:paraId="3E690F7A">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5、主要基础技术资料</w:t>
      </w:r>
    </w:p>
    <w:p w14:paraId="5F839995">
      <w:pPr>
        <w:pStyle w:val="11"/>
        <w:widowControl w:val="0"/>
        <w:kinsoku/>
        <w:adjustRightInd/>
        <w:snapToGrid/>
        <w:spacing w:line="360" w:lineRule="auto"/>
        <w:ind w:firstLine="560" w:firstLineChars="200"/>
        <w:jc w:val="both"/>
        <w:rPr>
          <w:rFonts w:hint="eastAsia" w:hAnsi="宋体" w:cs="宋体"/>
          <w:sz w:val="28"/>
          <w:szCs w:val="28"/>
          <w:shd w:val="clear" w:color="auto" w:fill="FFFFFF"/>
          <w:lang w:val="en-US" w:eastAsia="zh-CN"/>
        </w:rPr>
      </w:pPr>
      <w:r>
        <w:rPr>
          <w:rFonts w:hint="eastAsia" w:hAnsi="宋体" w:cs="宋体"/>
          <w:sz w:val="28"/>
          <w:szCs w:val="28"/>
          <w:shd w:val="clear" w:color="auto" w:fill="FFFFFF"/>
          <w:lang w:val="en-US" w:eastAsia="zh-CN"/>
        </w:rPr>
        <w:t>⑴</w:t>
      </w:r>
      <w:bookmarkStart w:id="13" w:name="_Hlk214802676"/>
      <w:r>
        <w:rPr>
          <w:rFonts w:hint="eastAsia" w:hAnsi="宋体" w:cs="宋体"/>
          <w:sz w:val="28"/>
          <w:szCs w:val="28"/>
          <w:shd w:val="clear" w:color="auto" w:fill="FFFFFF"/>
          <w:lang w:val="en-US" w:eastAsia="zh-CN"/>
        </w:rPr>
        <w:t>2020年3月由</w:t>
      </w:r>
      <w:bookmarkEnd w:id="13"/>
      <w:r>
        <w:rPr>
          <w:rFonts w:hint="eastAsia" w:hAnsi="宋体" w:cs="宋体"/>
          <w:sz w:val="28"/>
          <w:szCs w:val="28"/>
          <w:shd w:val="clear" w:color="auto" w:fill="FFFFFF"/>
          <w:lang w:val="en-US" w:eastAsia="zh-CN"/>
        </w:rPr>
        <w:t>格尔木投资控股有限公司编制的</w:t>
      </w:r>
      <w:bookmarkStart w:id="14" w:name="_Hlk214802663"/>
      <w:r>
        <w:rPr>
          <w:rFonts w:hint="eastAsia" w:hAnsi="宋体" w:cs="宋体"/>
          <w:sz w:val="28"/>
          <w:szCs w:val="28"/>
          <w:shd w:val="clear" w:color="auto" w:fill="FFFFFF"/>
          <w:lang w:val="en-US" w:eastAsia="zh-CN"/>
        </w:rPr>
        <w:t>《青海省格尔木市茶格高速南建筑用砂2#矿可行性研究报告》</w:t>
      </w:r>
      <w:bookmarkEnd w:id="14"/>
      <w:r>
        <w:rPr>
          <w:rFonts w:hint="eastAsia" w:hAnsi="宋体" w:cs="宋体"/>
          <w:sz w:val="28"/>
          <w:szCs w:val="28"/>
          <w:shd w:val="clear" w:color="auto" w:fill="FFFFFF"/>
          <w:lang w:val="en-US" w:eastAsia="zh-CN"/>
        </w:rPr>
        <w:t>；</w:t>
      </w:r>
    </w:p>
    <w:p w14:paraId="56A7C6F0">
      <w:pPr>
        <w:widowControl w:val="0"/>
        <w:kinsoku/>
        <w:adjustRightInd/>
        <w:snapToGrid/>
        <w:spacing w:line="360" w:lineRule="auto"/>
        <w:ind w:firstLine="560" w:firstLineChars="200"/>
        <w:jc w:val="both"/>
        <w:rPr>
          <w:rFonts w:hint="eastAsia" w:ascii="宋体" w:hAnsi="宋体" w:eastAsia="Arial" w:cs="宋体"/>
          <w:snapToGrid w:val="0"/>
          <w:color w:val="000000"/>
          <w:sz w:val="28"/>
          <w:szCs w:val="28"/>
          <w:shd w:val="clear" w:color="auto" w:fill="FFFFFF"/>
          <w:lang w:val="en-US" w:eastAsia="zh-CN" w:bidi="ar-SA"/>
        </w:rPr>
      </w:pPr>
      <w:r>
        <w:rPr>
          <w:rFonts w:hint="eastAsia" w:ascii="宋体" w:hAnsi="宋体" w:eastAsia="Arial" w:cs="宋体"/>
          <w:snapToGrid w:val="0"/>
          <w:color w:val="000000"/>
          <w:sz w:val="28"/>
          <w:szCs w:val="28"/>
          <w:shd w:val="clear" w:color="auto" w:fill="FFFFFF"/>
          <w:lang w:val="en-US" w:eastAsia="zh-CN" w:bidi="ar-SA"/>
        </w:rPr>
        <w:t>⑵2020年3月由格尔木子晟地质工程有限公司编制的《青海省格尔木市茶格高速南建筑用砂2#矿矿产资源开</w:t>
      </w:r>
      <w:r>
        <w:rPr>
          <w:rFonts w:hint="eastAsia" w:ascii="宋体" w:hAnsi="宋体" w:cs="宋体"/>
          <w:snapToGrid w:val="0"/>
          <w:color w:val="000000"/>
          <w:sz w:val="28"/>
          <w:szCs w:val="28"/>
          <w:shd w:val="clear" w:color="auto" w:fill="FFFFFF"/>
          <w:lang w:val="en-US" w:eastAsia="zh-CN" w:bidi="ar-SA"/>
        </w:rPr>
        <w:t>发利用</w:t>
      </w:r>
      <w:r>
        <w:rPr>
          <w:rFonts w:hint="eastAsia" w:ascii="宋体" w:hAnsi="宋体" w:eastAsia="Arial" w:cs="宋体"/>
          <w:snapToGrid w:val="0"/>
          <w:color w:val="000000"/>
          <w:sz w:val="28"/>
          <w:szCs w:val="28"/>
          <w:shd w:val="clear" w:color="auto" w:fill="FFFFFF"/>
          <w:lang w:val="en-US" w:eastAsia="zh-CN" w:bidi="ar-SA"/>
        </w:rPr>
        <w:t>方案》；</w:t>
      </w:r>
    </w:p>
    <w:p w14:paraId="7D87CEE8">
      <w:pPr>
        <w:pStyle w:val="11"/>
        <w:widowControl w:val="0"/>
        <w:kinsoku/>
        <w:adjustRightInd/>
        <w:snapToGrid/>
        <w:spacing w:line="360" w:lineRule="auto"/>
        <w:ind w:firstLine="560" w:firstLineChars="200"/>
        <w:jc w:val="both"/>
        <w:rPr>
          <w:rFonts w:hint="eastAsia" w:hAnsi="宋体" w:cs="宋体"/>
          <w:sz w:val="28"/>
          <w:szCs w:val="28"/>
          <w:shd w:val="clear" w:color="auto" w:fill="FFFFFF"/>
          <w:lang w:val="en-US" w:eastAsia="zh-CN"/>
        </w:rPr>
      </w:pPr>
      <w:r>
        <w:rPr>
          <w:rFonts w:hint="eastAsia" w:hAnsi="宋体" w:cs="宋体"/>
          <w:sz w:val="28"/>
          <w:szCs w:val="28"/>
          <w:shd w:val="clear" w:color="auto" w:fill="FFFFFF"/>
          <w:lang w:eastAsia="zh-CN"/>
        </w:rPr>
        <w:t>⑶</w:t>
      </w:r>
      <w:r>
        <w:rPr>
          <w:rFonts w:hint="eastAsia" w:hAnsi="宋体" w:cs="宋体"/>
          <w:sz w:val="28"/>
          <w:szCs w:val="28"/>
          <w:shd w:val="clear" w:color="auto" w:fill="FFFFFF"/>
          <w:lang w:val="en-US" w:eastAsia="zh-CN"/>
        </w:rPr>
        <w:t>2020年3月由格尔木子晟地质工程有限公司编制的《青海省格尔木市茶格高速南建筑用砂2#矿</w:t>
      </w:r>
      <w:r>
        <w:rPr>
          <w:rFonts w:hint="eastAsia" w:hAnsi="宋体" w:cs="宋体"/>
          <w:sz w:val="28"/>
          <w:szCs w:val="28"/>
          <w:shd w:val="clear" w:color="auto" w:fill="FFFFFF"/>
          <w:lang w:eastAsia="zh-CN"/>
        </w:rPr>
        <w:t>矿山地质环境保护与土地复垦方案</w:t>
      </w:r>
      <w:r>
        <w:rPr>
          <w:rFonts w:hint="eastAsia" w:hAnsi="宋体" w:cs="宋体"/>
          <w:sz w:val="28"/>
          <w:szCs w:val="28"/>
          <w:shd w:val="clear" w:color="auto" w:fill="FFFFFF"/>
          <w:lang w:val="en-US" w:eastAsia="zh-CN"/>
        </w:rPr>
        <w:t>》；</w:t>
      </w:r>
    </w:p>
    <w:p w14:paraId="5D1479E8">
      <w:pPr>
        <w:pStyle w:val="11"/>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⑷</w:t>
      </w:r>
      <w:r>
        <w:rPr>
          <w:rFonts w:hint="eastAsia" w:ascii="宋体" w:hAnsi="宋体" w:eastAsia="宋体" w:cs="宋体"/>
          <w:sz w:val="28"/>
          <w:szCs w:val="28"/>
          <w:lang w:val="en-US" w:eastAsia="zh-CN"/>
        </w:rPr>
        <w:t>2021年3月由苏州中材非金属矿工业设计研究院有限公司编制的《</w:t>
      </w:r>
      <w:r>
        <w:rPr>
          <w:rFonts w:hint="eastAsia" w:hAnsi="宋体" w:cs="宋体"/>
          <w:sz w:val="28"/>
          <w:szCs w:val="28"/>
          <w:shd w:val="clear" w:color="auto" w:fill="FFFFFF"/>
          <w:lang w:val="en-US" w:eastAsia="zh-CN"/>
        </w:rPr>
        <w:t>格尔木投资控股有限公司</w:t>
      </w:r>
      <w:r>
        <w:rPr>
          <w:rFonts w:hint="eastAsia" w:ascii="宋体" w:hAnsi="宋体" w:eastAsia="宋体" w:cs="宋体"/>
          <w:sz w:val="28"/>
          <w:szCs w:val="28"/>
          <w:lang w:val="en-US" w:eastAsia="zh-CN"/>
        </w:rPr>
        <w:t>格尔木市茶格高速南建筑用砂</w:t>
      </w:r>
      <w:r>
        <w:rPr>
          <w:rFonts w:hint="default" w:ascii="宋体" w:hAnsi="宋体" w:eastAsia="宋体" w:cs="宋体"/>
          <w:sz w:val="28"/>
          <w:szCs w:val="28"/>
          <w:lang w:val="en-US" w:eastAsia="zh-CN"/>
        </w:rPr>
        <w:t>2#</w:t>
      </w:r>
      <w:r>
        <w:rPr>
          <w:rFonts w:hint="eastAsia" w:ascii="宋体" w:hAnsi="宋体" w:eastAsia="宋体" w:cs="宋体"/>
          <w:sz w:val="28"/>
          <w:szCs w:val="28"/>
          <w:lang w:val="en-US" w:eastAsia="zh-CN"/>
        </w:rPr>
        <w:t>矿开采设计》；</w:t>
      </w:r>
    </w:p>
    <w:p w14:paraId="35E0E1FA">
      <w:pPr>
        <w:pStyle w:val="11"/>
        <w:widowControl w:val="0"/>
        <w:kinsoku/>
        <w:adjustRightInd/>
        <w:snapToGrid/>
        <w:spacing w:line="360" w:lineRule="auto"/>
        <w:ind w:firstLine="560" w:firstLineChars="200"/>
        <w:jc w:val="both"/>
        <w:rPr>
          <w:rFonts w:hint="default" w:ascii="宋体" w:hAnsi="宋体" w:eastAsia="宋体" w:cs="宋体"/>
          <w:sz w:val="28"/>
          <w:szCs w:val="28"/>
          <w:lang w:val="en-US" w:eastAsia="zh-CN"/>
        </w:rPr>
      </w:pPr>
      <w:r>
        <w:rPr>
          <w:rFonts w:hint="eastAsia" w:ascii="宋体" w:hAnsi="宋体" w:eastAsia="宋体" w:cs="宋体"/>
          <w:sz w:val="28"/>
          <w:szCs w:val="28"/>
          <w:lang w:eastAsia="zh-CN"/>
        </w:rPr>
        <w:t>⑸</w:t>
      </w:r>
      <w:r>
        <w:rPr>
          <w:rFonts w:hint="eastAsia" w:ascii="宋体" w:hAnsi="宋体" w:eastAsia="宋体" w:cs="宋体"/>
          <w:sz w:val="28"/>
          <w:szCs w:val="28"/>
          <w:lang w:val="en-US" w:eastAsia="zh-CN"/>
        </w:rPr>
        <w:t>2024年12月由青海辰宏地质工程有限公司编制的《青海省格尔木市格尔木昆鹏能源开发建设有限公司格尔木市茶格高速南建筑用砂2#矿</w:t>
      </w:r>
      <w:r>
        <w:rPr>
          <w:rFonts w:hint="eastAsia" w:ascii="宋体" w:hAnsi="宋体" w:eastAsia="宋体" w:cs="宋体"/>
          <w:sz w:val="28"/>
          <w:szCs w:val="28"/>
          <w:lang w:eastAsia="zh-CN"/>
        </w:rPr>
        <w:t>20</w:t>
      </w:r>
      <w:r>
        <w:rPr>
          <w:rFonts w:hint="eastAsia" w:ascii="宋体" w:hAnsi="宋体" w:eastAsia="宋体" w:cs="宋体"/>
          <w:sz w:val="28"/>
          <w:szCs w:val="28"/>
          <w:lang w:val="en-US" w:eastAsia="zh-CN"/>
        </w:rPr>
        <w:t>24</w:t>
      </w:r>
      <w:r>
        <w:rPr>
          <w:rFonts w:hint="eastAsia" w:ascii="宋体" w:hAnsi="宋体" w:eastAsia="宋体" w:cs="宋体"/>
          <w:sz w:val="28"/>
          <w:szCs w:val="28"/>
          <w:lang w:eastAsia="zh-CN"/>
        </w:rPr>
        <w:t>年</w:t>
      </w:r>
      <w:r>
        <w:rPr>
          <w:rFonts w:hint="eastAsia" w:ascii="宋体" w:hAnsi="宋体" w:eastAsia="宋体" w:cs="宋体"/>
          <w:sz w:val="28"/>
          <w:szCs w:val="28"/>
          <w:lang w:val="en-US" w:eastAsia="zh-CN"/>
        </w:rPr>
        <w:t>储量年</w:t>
      </w:r>
      <w:r>
        <w:rPr>
          <w:rFonts w:hint="eastAsia" w:ascii="宋体" w:hAnsi="宋体" w:eastAsia="宋体" w:cs="宋体"/>
          <w:sz w:val="28"/>
          <w:szCs w:val="28"/>
          <w:lang w:eastAsia="zh-CN"/>
        </w:rPr>
        <w:t>度年报</w:t>
      </w:r>
      <w:r>
        <w:rPr>
          <w:rFonts w:hint="eastAsia" w:ascii="宋体" w:hAnsi="宋体" w:eastAsia="宋体" w:cs="宋体"/>
          <w:sz w:val="28"/>
          <w:szCs w:val="28"/>
          <w:lang w:val="en-US" w:eastAsia="zh-CN"/>
        </w:rPr>
        <w:t>》；</w:t>
      </w:r>
    </w:p>
    <w:p w14:paraId="590E9977">
      <w:pPr>
        <w:pStyle w:val="11"/>
        <w:widowControl w:val="0"/>
        <w:kinsoku/>
        <w:adjustRightInd/>
        <w:snapToGrid/>
        <w:spacing w:line="360" w:lineRule="auto"/>
        <w:ind w:firstLine="560" w:firstLineChars="200"/>
        <w:jc w:val="both"/>
        <w:rPr>
          <w:rFonts w:ascii="宋体" w:hAnsi="宋体" w:cs="宋体"/>
          <w:sz w:val="28"/>
          <w:szCs w:val="28"/>
          <w:lang w:eastAsia="zh-CN"/>
        </w:rPr>
      </w:pPr>
      <w:r>
        <w:rPr>
          <w:rFonts w:hint="eastAsia" w:ascii="宋体" w:hAnsi="宋体" w:eastAsia="宋体" w:cs="宋体"/>
          <w:sz w:val="28"/>
          <w:szCs w:val="28"/>
          <w:lang w:eastAsia="zh-CN"/>
        </w:rPr>
        <w:t>⑹</w:t>
      </w:r>
      <w:r>
        <w:rPr>
          <w:rFonts w:hint="eastAsia" w:hAnsi="宋体" w:eastAsia="宋体" w:cs="宋体"/>
          <w:sz w:val="28"/>
          <w:szCs w:val="28"/>
          <w:lang w:eastAsia="zh-CN"/>
        </w:rPr>
        <w:t>格尔木昆鹏能源开发建设有限公司</w:t>
      </w:r>
      <w:r>
        <w:rPr>
          <w:rFonts w:hint="eastAsia" w:ascii="宋体" w:hAnsi="宋体" w:cs="宋体"/>
          <w:sz w:val="28"/>
          <w:szCs w:val="28"/>
          <w:lang w:eastAsia="zh-CN"/>
        </w:rPr>
        <w:t>提供的其它有关资料。</w:t>
      </w:r>
    </w:p>
    <w:p w14:paraId="2022426C">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15" w:name="_Toc31017"/>
      <w:r>
        <w:rPr>
          <w:rFonts w:hint="eastAsia" w:ascii="宋体" w:hAnsi="宋体" w:eastAsia="宋体" w:cs="宋体"/>
          <w:sz w:val="30"/>
          <w:szCs w:val="30"/>
          <w:lang w:eastAsia="zh-CN"/>
        </w:rPr>
        <w:t>二、方案适用年限</w:t>
      </w:r>
      <w:bookmarkEnd w:id="15"/>
    </w:p>
    <w:p w14:paraId="5D5AFB0E">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根据资源储量和矿山产能，本矿设计服务年限为</w:t>
      </w:r>
      <w:r>
        <w:rPr>
          <w:rFonts w:hint="eastAsia" w:ascii="宋体" w:hAnsi="宋体" w:eastAsia="宋体" w:cs="宋体"/>
          <w:sz w:val="28"/>
          <w:szCs w:val="28"/>
          <w:lang w:val="en-US" w:eastAsia="zh-CN"/>
        </w:rPr>
        <w:t>4.5</w:t>
      </w:r>
      <w:r>
        <w:rPr>
          <w:rFonts w:hint="eastAsia" w:ascii="宋体" w:hAnsi="宋体" w:eastAsia="宋体" w:cs="宋体"/>
          <w:sz w:val="28"/>
          <w:szCs w:val="28"/>
          <w:lang w:eastAsia="zh-CN"/>
        </w:rPr>
        <w:t>年（2025年12月—20</w:t>
      </w:r>
      <w:r>
        <w:rPr>
          <w:rFonts w:hint="eastAsia" w:ascii="宋体" w:hAnsi="宋体" w:eastAsia="宋体" w:cs="宋体"/>
          <w:sz w:val="28"/>
          <w:szCs w:val="28"/>
          <w:lang w:val="en-US" w:eastAsia="zh-CN"/>
        </w:rPr>
        <w:t>29</w:t>
      </w:r>
      <w:r>
        <w:rPr>
          <w:rFonts w:hint="eastAsia" w:ascii="宋体" w:hAnsi="宋体" w:eastAsia="宋体" w:cs="宋体"/>
          <w:sz w:val="28"/>
          <w:szCs w:val="28"/>
          <w:lang w:eastAsia="zh-CN"/>
        </w:rPr>
        <w:t>年</w:t>
      </w:r>
      <w:r>
        <w:rPr>
          <w:rFonts w:hint="eastAsia" w:ascii="宋体" w:hAnsi="宋体" w:eastAsia="宋体" w:cs="宋体"/>
          <w:sz w:val="28"/>
          <w:szCs w:val="28"/>
          <w:lang w:val="en-US" w:eastAsia="zh-CN"/>
        </w:rPr>
        <w:t>6</w:t>
      </w:r>
      <w:r>
        <w:rPr>
          <w:rFonts w:hint="eastAsia" w:ascii="宋体" w:hAnsi="宋体" w:eastAsia="宋体" w:cs="宋体"/>
          <w:sz w:val="28"/>
          <w:szCs w:val="28"/>
          <w:lang w:eastAsia="zh-CN"/>
        </w:rPr>
        <w:t>月）。方案适用年限为矿山服务年限加合理的修复施工期及恢复治理期为2年，20</w:t>
      </w:r>
      <w:r>
        <w:rPr>
          <w:rFonts w:hint="eastAsia" w:ascii="宋体" w:hAnsi="宋体" w:eastAsia="宋体" w:cs="宋体"/>
          <w:sz w:val="28"/>
          <w:szCs w:val="28"/>
          <w:lang w:val="en-US" w:eastAsia="zh-CN"/>
        </w:rPr>
        <w:t>29</w:t>
      </w:r>
      <w:r>
        <w:rPr>
          <w:rFonts w:hint="eastAsia" w:ascii="宋体" w:hAnsi="宋体" w:eastAsia="宋体" w:cs="宋体"/>
          <w:sz w:val="28"/>
          <w:szCs w:val="28"/>
          <w:lang w:eastAsia="zh-CN"/>
        </w:rPr>
        <w:t>年</w:t>
      </w:r>
      <w:r>
        <w:rPr>
          <w:rFonts w:hint="eastAsia" w:ascii="宋体" w:hAnsi="宋体" w:eastAsia="宋体" w:cs="宋体"/>
          <w:sz w:val="28"/>
          <w:szCs w:val="28"/>
          <w:lang w:val="en-US" w:eastAsia="zh-CN"/>
        </w:rPr>
        <w:t>6</w:t>
      </w:r>
      <w:r>
        <w:rPr>
          <w:rFonts w:hint="eastAsia" w:ascii="宋体" w:hAnsi="宋体" w:eastAsia="宋体" w:cs="宋体"/>
          <w:sz w:val="28"/>
          <w:szCs w:val="28"/>
          <w:lang w:eastAsia="zh-CN"/>
        </w:rPr>
        <w:t>月—203</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年</w:t>
      </w:r>
      <w:r>
        <w:rPr>
          <w:rFonts w:hint="eastAsia" w:ascii="宋体" w:hAnsi="宋体" w:eastAsia="宋体" w:cs="宋体"/>
          <w:sz w:val="28"/>
          <w:szCs w:val="28"/>
          <w:lang w:val="en-US" w:eastAsia="zh-CN"/>
        </w:rPr>
        <w:t>6</w:t>
      </w:r>
      <w:r>
        <w:rPr>
          <w:rFonts w:hint="eastAsia" w:ascii="宋体" w:hAnsi="宋体" w:eastAsia="宋体" w:cs="宋体"/>
          <w:sz w:val="28"/>
          <w:szCs w:val="28"/>
          <w:lang w:eastAsia="zh-CN"/>
        </w:rPr>
        <w:t>月），方案自自然资源主管部门审查结果公告之日起生效。涉及采矿权延续、扩大矿区范围、变更开采方式等情形的，应当重新编制方案。</w:t>
      </w:r>
    </w:p>
    <w:p w14:paraId="065E2F6A">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当矿山范围、生产规模、开发利用方式等发生重大变化时，应对《方案》进行修编或重新编制方案，并上报自然资源行政主管部门批准。</w:t>
      </w:r>
    </w:p>
    <w:p w14:paraId="664DBB7D">
      <w:pPr>
        <w:spacing w:line="361" w:lineRule="auto"/>
        <w:rPr>
          <w:rFonts w:hint="eastAsia" w:ascii="宋体" w:hAnsi="宋体" w:eastAsia="宋体" w:cs="宋体"/>
          <w:sz w:val="28"/>
          <w:szCs w:val="28"/>
          <w:lang w:eastAsia="zh-CN"/>
        </w:rPr>
        <w:sectPr>
          <w:footerReference r:id="rId5" w:type="default"/>
          <w:pgSz w:w="11905" w:h="16839"/>
          <w:pgMar w:top="1440" w:right="1800" w:bottom="1440" w:left="1800" w:header="680" w:footer="850" w:gutter="0"/>
          <w:pgNumType w:start="1"/>
          <w:cols w:space="720" w:num="1"/>
        </w:sectPr>
      </w:pPr>
    </w:p>
    <w:p w14:paraId="4F1E9D46">
      <w:pPr>
        <w:pStyle w:val="2"/>
        <w:keepNext w:val="0"/>
        <w:keepLines w:val="0"/>
        <w:widowControl w:val="0"/>
        <w:kinsoku/>
        <w:spacing w:before="0" w:after="0" w:line="360" w:lineRule="auto"/>
        <w:jc w:val="center"/>
        <w:rPr>
          <w:rFonts w:hint="eastAsia" w:ascii="黑体" w:hAnsi="黑体" w:eastAsia="黑体" w:cs="黑体"/>
          <w:b w:val="0"/>
          <w:bCs/>
          <w:sz w:val="32"/>
          <w:szCs w:val="32"/>
          <w:lang w:eastAsia="zh-CN"/>
        </w:rPr>
      </w:pPr>
      <w:bookmarkStart w:id="16" w:name="_Toc26651"/>
      <w:r>
        <w:rPr>
          <w:rFonts w:hint="eastAsia" w:ascii="黑体" w:hAnsi="黑体" w:eastAsia="黑体" w:cs="黑体"/>
          <w:b w:val="0"/>
          <w:bCs/>
          <w:sz w:val="32"/>
          <w:szCs w:val="32"/>
          <w:lang w:eastAsia="zh-CN"/>
        </w:rPr>
        <w:t>第一章  矿山基本情况</w:t>
      </w:r>
      <w:bookmarkEnd w:id="16"/>
    </w:p>
    <w:p w14:paraId="648471BA">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17" w:name="bookmark244"/>
      <w:bookmarkEnd w:id="17"/>
      <w:bookmarkStart w:id="18" w:name="_Toc28004"/>
      <w:r>
        <w:rPr>
          <w:rFonts w:hint="eastAsia" w:ascii="宋体" w:hAnsi="宋体" w:eastAsia="宋体" w:cs="宋体"/>
          <w:sz w:val="30"/>
          <w:szCs w:val="30"/>
          <w:lang w:eastAsia="zh-CN"/>
        </w:rPr>
        <w:t>一、矿业权人基本情况</w:t>
      </w:r>
      <w:bookmarkEnd w:id="18"/>
    </w:p>
    <w:p w14:paraId="480BCA9B">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本矿申请单位为格尔木昆鹏能源开发建设有限公司，该公司于2</w:t>
      </w:r>
      <w:r>
        <w:rPr>
          <w:rFonts w:hint="eastAsia" w:ascii="宋体" w:hAnsi="宋体" w:eastAsia="宋体" w:cs="宋体"/>
          <w:sz w:val="28"/>
          <w:szCs w:val="28"/>
          <w:lang w:val="en-US" w:eastAsia="zh-CN"/>
        </w:rPr>
        <w:t>024</w:t>
      </w:r>
      <w:r>
        <w:rPr>
          <w:rFonts w:hint="eastAsia" w:ascii="宋体" w:hAnsi="宋体" w:eastAsia="宋体" w:cs="宋体"/>
          <w:sz w:val="28"/>
          <w:szCs w:val="28"/>
          <w:lang w:eastAsia="zh-CN"/>
        </w:rPr>
        <w:t>年0</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月</w:t>
      </w:r>
      <w:r>
        <w:rPr>
          <w:rFonts w:hint="eastAsia" w:ascii="宋体" w:hAnsi="宋体" w:eastAsia="宋体" w:cs="宋体"/>
          <w:sz w:val="28"/>
          <w:szCs w:val="28"/>
          <w:lang w:val="en-US" w:eastAsia="zh-CN"/>
        </w:rPr>
        <w:t>01</w:t>
      </w:r>
      <w:r>
        <w:rPr>
          <w:rFonts w:hint="eastAsia" w:ascii="宋体" w:hAnsi="宋体" w:eastAsia="宋体" w:cs="宋体"/>
          <w:sz w:val="28"/>
          <w:szCs w:val="28"/>
          <w:lang w:eastAsia="zh-CN"/>
        </w:rPr>
        <w:t>日</w:t>
      </w:r>
      <w:r>
        <w:rPr>
          <w:rFonts w:hint="eastAsia" w:ascii="宋体" w:hAnsi="宋体" w:eastAsia="宋体" w:cs="宋体"/>
          <w:color w:val="000000" w:themeColor="text1"/>
          <w:sz w:val="28"/>
          <w:szCs w:val="28"/>
          <w14:textFill>
            <w14:solidFill>
              <w14:schemeClr w14:val="tx1"/>
            </w14:solidFill>
          </w14:textFill>
        </w:rPr>
        <w:t>在海西州格尔木市市场监督管理局注册成立</w:t>
      </w:r>
      <w:r>
        <w:rPr>
          <w:rFonts w:hint="eastAsia" w:ascii="宋体" w:hAnsi="宋体" w:eastAsia="宋体" w:cs="宋体"/>
          <w:sz w:val="28"/>
          <w:szCs w:val="28"/>
          <w:lang w:eastAsia="zh-CN"/>
        </w:rPr>
        <w:t>。</w:t>
      </w:r>
    </w:p>
    <w:p w14:paraId="07687494">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企业法人营业执照登记情况如下：</w:t>
      </w:r>
    </w:p>
    <w:p w14:paraId="4D4D0431">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企业名称：格尔木昆鹏能源开发建设有限公司；</w:t>
      </w:r>
    </w:p>
    <w:p w14:paraId="1EA6AF02">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统一社会信用代码：91632801MADF4XE05J；</w:t>
      </w:r>
    </w:p>
    <w:p w14:paraId="7B94A61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经济类型：有限责任公司(国有独资)；</w:t>
      </w:r>
    </w:p>
    <w:p w14:paraId="10B462FA">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法定代表人：张家绪；</w:t>
      </w:r>
    </w:p>
    <w:p w14:paraId="7345C14C">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注册资金：壹亿元整；</w:t>
      </w:r>
    </w:p>
    <w:p w14:paraId="56156E74">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成立时间：20</w:t>
      </w:r>
      <w:r>
        <w:rPr>
          <w:rFonts w:hint="eastAsia" w:ascii="宋体" w:hAnsi="宋体" w:eastAsia="宋体" w:cs="宋体"/>
          <w:sz w:val="28"/>
          <w:szCs w:val="28"/>
          <w:lang w:val="en-US" w:eastAsia="zh-CN"/>
        </w:rPr>
        <w:t>24</w:t>
      </w:r>
      <w:r>
        <w:rPr>
          <w:rFonts w:hint="eastAsia" w:ascii="宋体" w:hAnsi="宋体" w:eastAsia="宋体" w:cs="宋体"/>
          <w:sz w:val="28"/>
          <w:szCs w:val="28"/>
          <w:lang w:eastAsia="zh-CN"/>
        </w:rPr>
        <w:t>年0</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月</w:t>
      </w:r>
      <w:r>
        <w:rPr>
          <w:rFonts w:hint="eastAsia" w:ascii="宋体" w:hAnsi="宋体" w:eastAsia="宋体" w:cs="宋体"/>
          <w:sz w:val="28"/>
          <w:szCs w:val="28"/>
          <w:lang w:val="en-US" w:eastAsia="zh-CN"/>
        </w:rPr>
        <w:t>01</w:t>
      </w:r>
      <w:r>
        <w:rPr>
          <w:rFonts w:hint="eastAsia" w:ascii="宋体" w:hAnsi="宋体" w:eastAsia="宋体" w:cs="宋体"/>
          <w:sz w:val="28"/>
          <w:szCs w:val="28"/>
          <w:lang w:eastAsia="zh-CN"/>
        </w:rPr>
        <w:t>日；</w:t>
      </w:r>
    </w:p>
    <w:p w14:paraId="6EA2A8B6">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注册地址：青海省海西州格尔木市柴达木西路36号盐化集团办公楼305室；</w:t>
      </w:r>
    </w:p>
    <w:p w14:paraId="7F80D4F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许可项目：非煤矿山矿产资源开采；道路货物运输(不含危险货物);房地产开发经营；输电、供电、受电电力设施的安装、维修和试验；发电业务、输电业务、供(配)电业务；建设工程施工(除核电站建设经营、民用机场建设)(依法须经批准的项目，经相关部门批准后方可开展经营活动，具体经营项目以审批结果为准)。一般项目：合同能源管理；节能管理服务；技术服务、技术开发、技术咨询、技术交流、技术转让、技术推广；集中式快速充电站；市政设施管理；租赁服务(不含许可类租赁服务);光伏发电设备租赁(除依法须经批准的项目外，凭营业执照依法自主开展经营活动)。</w:t>
      </w:r>
    </w:p>
    <w:p w14:paraId="3F60AB96">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19" w:name="_Toc2974"/>
      <w:r>
        <w:rPr>
          <w:rFonts w:hint="eastAsia" w:ascii="宋体" w:hAnsi="宋体" w:eastAsia="宋体" w:cs="宋体"/>
          <w:sz w:val="30"/>
          <w:szCs w:val="30"/>
          <w:lang w:eastAsia="zh-CN"/>
        </w:rPr>
        <w:t>二、地理位置与区域概况</w:t>
      </w:r>
      <w:bookmarkEnd w:id="19"/>
    </w:p>
    <w:p w14:paraId="7AA37C2B">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矿区位于格尔木市茶格高速南阶地，中心地理坐标为：东经 94°54′11.13″；北纬36°19′29.09″，行政区划隶属格尔木市管辖。 矿区与109国道有水泥路相连，距国道109线3公里，交通十分便利（图1-1）。</w:t>
      </w:r>
    </w:p>
    <w:p w14:paraId="3ED59D86">
      <w:pPr>
        <w:widowControl w:val="0"/>
        <w:kinsoku/>
        <w:adjustRightInd/>
        <w:snapToGrid/>
        <w:spacing w:line="360" w:lineRule="auto"/>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drawing>
          <wp:inline distT="0" distB="0" distL="114300" distR="114300">
            <wp:extent cx="4683125" cy="4999355"/>
            <wp:effectExtent l="0" t="0" r="3175" b="10795"/>
            <wp:docPr id="4" name="图片 4" descr="微信图片_20251224200514_68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51224200514_68_18"/>
                    <pic:cNvPicPr>
                      <a:picLocks noChangeAspect="1"/>
                    </pic:cNvPicPr>
                  </pic:nvPicPr>
                  <pic:blipFill>
                    <a:blip r:embed="rId13"/>
                    <a:srcRect t="1979" b="3005"/>
                    <a:stretch>
                      <a:fillRect/>
                    </a:stretch>
                  </pic:blipFill>
                  <pic:spPr>
                    <a:xfrm>
                      <a:off x="0" y="0"/>
                      <a:ext cx="4683125" cy="4999355"/>
                    </a:xfrm>
                    <a:prstGeom prst="rect">
                      <a:avLst/>
                    </a:prstGeom>
                  </pic:spPr>
                </pic:pic>
              </a:graphicData>
            </a:graphic>
          </wp:inline>
        </w:drawing>
      </w:r>
    </w:p>
    <w:p w14:paraId="562FAAB6">
      <w:pPr>
        <w:kinsoku/>
        <w:adjustRightInd/>
        <w:snapToGrid/>
        <w:ind w:firstLine="422" w:firstLineChars="200"/>
        <w:jc w:val="center"/>
        <w:rPr>
          <w:rFonts w:hint="eastAsia" w:ascii="宋体" w:hAnsi="宋体" w:eastAsia="宋体" w:cs="宋体"/>
          <w:b/>
          <w:bCs/>
          <w:lang w:eastAsia="zh-CN"/>
        </w:rPr>
      </w:pPr>
      <w:r>
        <w:rPr>
          <w:rFonts w:hint="eastAsia" w:ascii="宋体" w:hAnsi="宋体" w:eastAsia="宋体" w:cs="宋体"/>
          <w:b/>
          <w:bCs/>
          <w:lang w:eastAsia="zh-CN"/>
        </w:rPr>
        <w:t>图1-1  矿区交通位置图</w:t>
      </w:r>
    </w:p>
    <w:p w14:paraId="7DB4DC42">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20" w:name="_Toc31072"/>
      <w:r>
        <w:rPr>
          <w:rFonts w:hint="eastAsia" w:ascii="宋体" w:hAnsi="宋体" w:eastAsia="宋体" w:cs="宋体"/>
          <w:sz w:val="30"/>
          <w:szCs w:val="30"/>
          <w:lang w:eastAsia="zh-CN"/>
        </w:rPr>
        <w:t>三、矿山开采历史及现状</w:t>
      </w:r>
      <w:bookmarkEnd w:id="20"/>
    </w:p>
    <w:p w14:paraId="1E72CF82">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1" w:name="_Toc7864"/>
      <w:r>
        <w:rPr>
          <w:rFonts w:hint="eastAsia" w:ascii="宋体" w:hAnsi="宋体" w:eastAsia="宋体" w:cs="宋体"/>
          <w:sz w:val="28"/>
          <w:szCs w:val="28"/>
          <w:lang w:eastAsia="zh-CN"/>
        </w:rPr>
        <w:t>（一）矿区开采历史情况</w:t>
      </w:r>
      <w:bookmarkEnd w:id="21"/>
    </w:p>
    <w:p w14:paraId="5B5097A5">
      <w:pPr>
        <w:pStyle w:val="15"/>
        <w:keepNext w:val="0"/>
        <w:keepLines w:val="0"/>
        <w:pageBreakBefore w:val="0"/>
        <w:widowControl w:val="0"/>
        <w:kinsoku/>
        <w:wordWrap/>
        <w:overflowPunct w:val="0"/>
        <w:topLinePunct w:val="0"/>
        <w:autoSpaceDE w:val="0"/>
        <w:autoSpaceDN w:val="0"/>
        <w:bidi w:val="0"/>
        <w:adjustRightInd/>
        <w:snapToGrid/>
        <w:spacing w:after="0" w:line="360" w:lineRule="auto"/>
        <w:ind w:firstLine="560" w:firstLineChars="200"/>
        <w:jc w:val="both"/>
        <w:textAlignment w:val="baseline"/>
        <w:rPr>
          <w:rFonts w:hint="eastAsia" w:ascii="宋体" w:hAnsi="宋体" w:eastAsia="宋体" w:cs="宋体"/>
          <w:sz w:val="28"/>
          <w:szCs w:val="28"/>
          <w:lang w:eastAsia="zh-CN"/>
        </w:rPr>
      </w:pPr>
      <w:bookmarkStart w:id="22" w:name="_Toc19211"/>
      <w:r>
        <w:rPr>
          <w:rFonts w:hint="eastAsia" w:ascii="宋体" w:hAnsi="宋体" w:eastAsia="宋体" w:cs="宋体"/>
          <w:sz w:val="28"/>
          <w:szCs w:val="28"/>
          <w:lang w:eastAsia="zh-CN"/>
        </w:rPr>
        <w:t>根据2015年1月由中国建筑材料工业地质勘查中心青海总队编制的《格尔木市茶格高速南建筑用砂2#矿资源量简测报告》，共估算采矿权范围内潜在的砂石矿资源（334）400.0万m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w:t>
      </w:r>
    </w:p>
    <w:p w14:paraId="3DD68DBA">
      <w:pPr>
        <w:pStyle w:val="15"/>
        <w:keepNext w:val="0"/>
        <w:keepLines w:val="0"/>
        <w:pageBreakBefore w:val="0"/>
        <w:widowControl w:val="0"/>
        <w:kinsoku/>
        <w:wordWrap/>
        <w:overflowPunct w:val="0"/>
        <w:topLinePunct w:val="0"/>
        <w:autoSpaceDE w:val="0"/>
        <w:autoSpaceDN w:val="0"/>
        <w:bidi w:val="0"/>
        <w:adjustRightInd/>
        <w:snapToGrid/>
        <w:spacing w:after="0" w:line="360" w:lineRule="auto"/>
        <w:ind w:firstLine="560" w:firstLineChars="200"/>
        <w:jc w:val="both"/>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格尔木市茶格高速南建筑用砂2#矿，由格尔木投资控股有限公司2021年1月29日首次取得采矿许可证，</w:t>
      </w:r>
      <w:r>
        <w:rPr>
          <w:rFonts w:hint="eastAsia" w:ascii="宋体" w:hAnsi="宋体" w:eastAsia="宋体" w:cs="宋体"/>
          <w:sz w:val="28"/>
          <w:szCs w:val="28"/>
          <w:lang w:val="en-US" w:eastAsia="zh-CN"/>
        </w:rPr>
        <w:t>2024年1月进行了采矿证延续,现采矿许可证号为C6328012021017100151367,有限期限为3年,自2024年1月29至2027年1月29日。矿区</w:t>
      </w:r>
      <w:r>
        <w:rPr>
          <w:rFonts w:hint="eastAsia" w:ascii="宋体" w:hAnsi="宋体" w:eastAsia="宋体" w:cs="宋体"/>
          <w:sz w:val="28"/>
          <w:szCs w:val="28"/>
          <w:lang w:eastAsia="zh-CN"/>
        </w:rPr>
        <w:t>于2021年9月正式进行开采活动</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矿山自取得采矿许可证以来按照《矿山开发利用方案》的设计进行开采，目前采掘活动在采矿权范围内西部进行，形成了一个东西长约1150m，南北长约200m采坑，南北边坡已形成了1个开采台阶。</w:t>
      </w:r>
    </w:p>
    <w:p w14:paraId="3973B8AF">
      <w:pPr>
        <w:pStyle w:val="15"/>
        <w:keepNext w:val="0"/>
        <w:keepLines w:val="0"/>
        <w:pageBreakBefore w:val="0"/>
        <w:widowControl w:val="0"/>
        <w:kinsoku/>
        <w:wordWrap/>
        <w:overflowPunct w:val="0"/>
        <w:topLinePunct w:val="0"/>
        <w:autoSpaceDE w:val="0"/>
        <w:autoSpaceDN w:val="0"/>
        <w:bidi w:val="0"/>
        <w:adjustRightInd/>
        <w:snapToGrid/>
        <w:spacing w:after="0" w:line="360" w:lineRule="auto"/>
        <w:ind w:firstLine="420" w:firstLineChars="200"/>
        <w:jc w:val="both"/>
        <w:textAlignment w:val="baseline"/>
        <w:rPr>
          <w:rFonts w:hint="eastAsia" w:ascii="宋体" w:hAnsi="宋体" w:eastAsia="宋体" w:cs="宋体"/>
          <w:sz w:val="28"/>
          <w:szCs w:val="28"/>
          <w:lang w:val="en-US" w:eastAsia="zh-CN"/>
        </w:rPr>
      </w:pPr>
      <w:r>
        <w:drawing>
          <wp:anchor distT="0" distB="0" distL="114300" distR="114300" simplePos="0" relativeHeight="251673600" behindDoc="1" locked="0" layoutInCell="1" allowOverlap="1">
            <wp:simplePos x="0" y="0"/>
            <wp:positionH relativeFrom="column">
              <wp:posOffset>152400</wp:posOffset>
            </wp:positionH>
            <wp:positionV relativeFrom="paragraph">
              <wp:posOffset>1726565</wp:posOffset>
            </wp:positionV>
            <wp:extent cx="5052060" cy="2165350"/>
            <wp:effectExtent l="0" t="0" r="15240" b="6350"/>
            <wp:wrapNone/>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4"/>
                    <a:stretch>
                      <a:fillRect/>
                    </a:stretch>
                  </pic:blipFill>
                  <pic:spPr>
                    <a:xfrm>
                      <a:off x="0" y="0"/>
                      <a:ext cx="5052060" cy="2165350"/>
                    </a:xfrm>
                    <a:prstGeom prst="rect">
                      <a:avLst/>
                    </a:prstGeom>
                    <a:noFill/>
                    <a:ln>
                      <a:noFill/>
                    </a:ln>
                  </pic:spPr>
                </pic:pic>
              </a:graphicData>
            </a:graphic>
          </wp:anchor>
        </w:drawing>
      </w:r>
      <w:r>
        <w:rPr>
          <w:rFonts w:hint="eastAsia" w:ascii="宋体" w:hAnsi="宋体" w:eastAsia="宋体" w:cs="宋体"/>
          <w:sz w:val="28"/>
          <w:szCs w:val="28"/>
          <w:lang w:eastAsia="zh-CN"/>
        </w:rPr>
        <w:t>矿山自2021年度共生产17.35万m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，实际动用17.70万m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。2022年共生产28.80万m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，实际动用29.38万m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。2023年共生产30.02万m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，实际动用30.62万m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。2024年共生产46.30万m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，实际动用47.17万m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。2025年共生产45.18万m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，实际动用46.39万m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。截至目前已开采区域面积见图</w:t>
      </w:r>
      <w:r>
        <w:rPr>
          <w:rFonts w:hint="eastAsia" w:ascii="宋体" w:hAnsi="宋体" w:eastAsia="宋体" w:cs="宋体"/>
          <w:sz w:val="28"/>
          <w:szCs w:val="28"/>
          <w:lang w:val="en-US" w:eastAsia="zh-CN"/>
        </w:rPr>
        <w:t>1-2。</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41"/>
      </w:tblGrid>
      <w:tr w14:paraId="1CBC1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9" w:hRule="atLeast"/>
          <w:jc w:val="center"/>
        </w:trPr>
        <w:tc>
          <w:tcPr>
            <w:tcW w:w="8041" w:type="dxa"/>
          </w:tcPr>
          <w:p w14:paraId="1E63EDF9">
            <w:pPr>
              <w:pStyle w:val="15"/>
              <w:widowControl w:val="0"/>
              <w:kinsoku/>
              <w:adjustRightInd/>
              <w:snapToGrid/>
              <w:spacing w:after="0" w:line="360" w:lineRule="auto"/>
              <w:jc w:val="both"/>
              <w:rPr>
                <w:rFonts w:hint="default" w:ascii="宋体" w:hAnsi="宋体" w:eastAsia="宋体" w:cs="宋体"/>
                <w:sz w:val="28"/>
                <w:szCs w:val="28"/>
                <w:vertAlign w:val="baseline"/>
                <w:lang w:val="en-US" w:eastAsia="zh-CN"/>
              </w:rPr>
            </w:pPr>
          </w:p>
        </w:tc>
      </w:tr>
    </w:tbl>
    <w:p w14:paraId="3F138C8E">
      <w:pPr>
        <w:kinsoku/>
        <w:adjustRightInd/>
        <w:snapToGrid/>
        <w:ind w:firstLine="422" w:firstLineChars="200"/>
        <w:jc w:val="center"/>
        <w:rPr>
          <w:rFonts w:hint="eastAsia" w:ascii="宋体" w:hAnsi="宋体" w:eastAsia="宋体" w:cs="宋体"/>
          <w:b/>
          <w:bCs/>
          <w:lang w:eastAsia="zh-CN"/>
        </w:rPr>
      </w:pPr>
      <w:r>
        <w:rPr>
          <w:rFonts w:hint="eastAsia" w:ascii="宋体" w:hAnsi="宋体" w:eastAsia="宋体" w:cs="宋体"/>
          <w:b/>
          <w:bCs/>
          <w:lang w:eastAsia="zh-CN"/>
        </w:rPr>
        <w:t>图1-</w:t>
      </w:r>
      <w:r>
        <w:rPr>
          <w:rFonts w:hint="eastAsia" w:ascii="宋体" w:hAnsi="宋体" w:eastAsia="宋体" w:cs="宋体"/>
          <w:b/>
          <w:bCs/>
          <w:lang w:val="en-US" w:eastAsia="zh-CN"/>
        </w:rPr>
        <w:t>2</w:t>
      </w:r>
      <w:r>
        <w:rPr>
          <w:rFonts w:hint="eastAsia" w:ascii="宋体" w:hAnsi="宋体" w:eastAsia="宋体" w:cs="宋体"/>
          <w:b/>
          <w:bCs/>
          <w:lang w:eastAsia="zh-CN"/>
        </w:rPr>
        <w:t xml:space="preserve">  矿区现阶段已开采面积图</w:t>
      </w:r>
    </w:p>
    <w:p w14:paraId="0D75CC2D">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（二）矿区现状</w:t>
      </w:r>
      <w:bookmarkEnd w:id="22"/>
    </w:p>
    <w:p w14:paraId="20BFC719">
      <w:pPr>
        <w:pStyle w:val="6"/>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采矿权名称为：</w:t>
      </w:r>
      <w:r>
        <w:rPr>
          <w:rFonts w:hint="eastAsia" w:ascii="宋体" w:hAnsi="宋体" w:eastAsia="宋体" w:cs="宋体"/>
          <w:sz w:val="28"/>
          <w:szCs w:val="28"/>
          <w:lang w:val="en-US" w:eastAsia="zh-CN"/>
        </w:rPr>
        <w:t>格尔木昆鹏能源开发建设有限公司</w:t>
      </w:r>
      <w:r>
        <w:rPr>
          <w:rFonts w:hint="eastAsia" w:ascii="宋体" w:hAnsi="宋体" w:eastAsia="宋体" w:cs="宋体"/>
          <w:sz w:val="28"/>
          <w:szCs w:val="28"/>
          <w:lang w:eastAsia="zh-CN"/>
        </w:rPr>
        <w:t>青海省格尔木市茶格高速南建筑用砂2#矿；</w:t>
      </w:r>
    </w:p>
    <w:p w14:paraId="7845C652">
      <w:pPr>
        <w:widowControl w:val="0"/>
        <w:kinsoku/>
        <w:adjustRightInd/>
        <w:snapToGrid/>
        <w:spacing w:line="360" w:lineRule="auto"/>
        <w:ind w:firstLine="540" w:firstLineChars="200"/>
        <w:jc w:val="both"/>
        <w:rPr>
          <w:rFonts w:hint="eastAsia" w:ascii="宋体" w:hAnsi="宋体" w:eastAsia="宋体" w:cs="宋体"/>
          <w:sz w:val="28"/>
          <w:szCs w:val="28"/>
          <w:lang w:eastAsia="zh-CN"/>
        </w:rPr>
      </w:pPr>
      <w:r>
        <w:rPr>
          <w:rFonts w:ascii="宋体" w:hAnsi="宋体" w:eastAsia="宋体" w:cs="宋体"/>
          <w:spacing w:val="-5"/>
          <w:sz w:val="28"/>
          <w:szCs w:val="28"/>
          <w:lang w:eastAsia="zh-CN"/>
        </w:rPr>
        <w:t>1、矿山服务年限</w:t>
      </w:r>
    </w:p>
    <w:p w14:paraId="27D6397E">
      <w:pPr>
        <w:pStyle w:val="6"/>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本方案中设计开采对象为采矿权范围内通过评审的建筑用砂保有资源量为</w:t>
      </w:r>
      <w:r>
        <w:rPr>
          <w:rFonts w:hint="eastAsia" w:ascii="宋体" w:hAnsi="宋体" w:eastAsia="宋体" w:cs="宋体"/>
          <w:sz w:val="28"/>
          <w:szCs w:val="28"/>
          <w:lang w:val="en-US" w:eastAsia="zh-CN"/>
        </w:rPr>
        <w:t>228.74</w:t>
      </w:r>
      <w:r>
        <w:rPr>
          <w:rFonts w:hint="eastAsia" w:ascii="宋体" w:hAnsi="宋体" w:eastAsia="宋体" w:cs="宋体"/>
          <w:sz w:val="28"/>
          <w:szCs w:val="28"/>
          <w:lang w:eastAsia="zh-CN"/>
        </w:rPr>
        <w:t>万m³，</w:t>
      </w:r>
      <w:r>
        <w:rPr>
          <w:rFonts w:hint="eastAsia" w:ascii="宋体" w:hAnsi="宋体" w:cs="宋体"/>
          <w:sz w:val="28"/>
          <w:szCs w:val="28"/>
          <w:lang w:eastAsia="zh-CN"/>
        </w:rPr>
        <w:t>矿山建设规模为</w:t>
      </w:r>
      <w:r>
        <w:rPr>
          <w:rFonts w:hint="eastAsia" w:ascii="宋体" w:hAnsi="宋体" w:cs="宋体"/>
          <w:sz w:val="28"/>
          <w:szCs w:val="28"/>
          <w:lang w:val="en-US" w:eastAsia="zh-CN"/>
        </w:rPr>
        <w:t>50</w:t>
      </w:r>
      <w:r>
        <w:rPr>
          <w:rFonts w:hint="eastAsia" w:ascii="宋体" w:hAnsi="宋体" w:cs="宋体"/>
          <w:sz w:val="28"/>
          <w:szCs w:val="28"/>
          <w:lang w:eastAsia="zh-CN"/>
        </w:rPr>
        <w:t>万m³/年，服务年限为</w:t>
      </w:r>
      <w:bookmarkStart w:id="23" w:name="_Hlk214803457"/>
      <w:r>
        <w:rPr>
          <w:rFonts w:hint="eastAsia" w:ascii="宋体" w:hAnsi="宋体" w:cs="宋体"/>
          <w:sz w:val="28"/>
          <w:szCs w:val="28"/>
          <w:lang w:val="en-US" w:eastAsia="zh-CN"/>
        </w:rPr>
        <w:t>4.5</w:t>
      </w:r>
      <w:r>
        <w:rPr>
          <w:rFonts w:hint="eastAsia" w:ascii="宋体" w:hAnsi="宋体" w:cs="宋体"/>
          <w:sz w:val="28"/>
          <w:szCs w:val="28"/>
          <w:lang w:eastAsia="zh-CN"/>
        </w:rPr>
        <w:t>年</w:t>
      </w:r>
      <w:bookmarkEnd w:id="23"/>
      <w:r>
        <w:rPr>
          <w:rFonts w:hint="eastAsia" w:ascii="宋体" w:hAnsi="宋体" w:cs="宋体"/>
          <w:sz w:val="28"/>
          <w:szCs w:val="28"/>
          <w:lang w:eastAsia="zh-CN"/>
        </w:rPr>
        <w:t>。</w:t>
      </w:r>
    </w:p>
    <w:p w14:paraId="60685A6F">
      <w:pPr>
        <w:widowControl w:val="0"/>
        <w:kinsoku/>
        <w:adjustRightInd/>
        <w:snapToGrid/>
        <w:spacing w:line="360" w:lineRule="auto"/>
        <w:ind w:firstLine="552" w:firstLineChars="200"/>
        <w:jc w:val="both"/>
        <w:rPr>
          <w:rFonts w:hint="eastAsia" w:ascii="宋体" w:hAnsi="宋体" w:eastAsia="宋体" w:cs="宋体"/>
          <w:sz w:val="28"/>
          <w:szCs w:val="28"/>
          <w:lang w:eastAsia="zh-CN"/>
        </w:rPr>
      </w:pPr>
      <w:r>
        <w:rPr>
          <w:rFonts w:hint="eastAsia" w:ascii="宋体" w:hAnsi="宋体" w:eastAsia="宋体" w:cs="宋体"/>
          <w:spacing w:val="-2"/>
          <w:sz w:val="28"/>
          <w:szCs w:val="28"/>
          <w:lang w:eastAsia="zh-CN"/>
        </w:rPr>
        <w:t>2、可供开采的矿产资源的范围</w:t>
      </w:r>
    </w:p>
    <w:p w14:paraId="1E622EFD">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可采矿场地域即“青海省格尔木市茶格高速南建筑用砂2#矿”采矿权范围，面积</w:t>
      </w:r>
      <w:r>
        <w:rPr>
          <w:rFonts w:hint="eastAsia" w:ascii="宋体" w:hAnsi="宋体" w:eastAsia="宋体" w:cs="宋体"/>
          <w:sz w:val="28"/>
          <w:szCs w:val="28"/>
          <w:lang w:val="en-US" w:eastAsia="zh-CN"/>
        </w:rPr>
        <w:t>0.9996</w:t>
      </w:r>
      <w:r>
        <w:rPr>
          <w:rFonts w:hint="eastAsia" w:ascii="宋体" w:hAnsi="宋体" w:eastAsia="宋体" w:cs="宋体"/>
          <w:sz w:val="28"/>
          <w:szCs w:val="28"/>
          <w:lang w:eastAsia="zh-CN"/>
        </w:rPr>
        <w:t>km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，开采标高</w:t>
      </w:r>
      <w:r>
        <w:rPr>
          <w:rFonts w:hint="eastAsia" w:ascii="宋体" w:hAnsi="宋体" w:eastAsia="宋体" w:cs="宋体"/>
          <w:sz w:val="28"/>
          <w:szCs w:val="28"/>
          <w:lang w:val="en-US" w:eastAsia="zh-CN"/>
        </w:rPr>
        <w:t>2896</w:t>
      </w:r>
      <w:r>
        <w:rPr>
          <w:rFonts w:hint="eastAsia" w:ascii="宋体" w:hAnsi="宋体" w:eastAsia="宋体" w:cs="宋体"/>
          <w:sz w:val="28"/>
          <w:szCs w:val="28"/>
          <w:lang w:eastAsia="zh-CN"/>
        </w:rPr>
        <w:t>m-</w:t>
      </w:r>
      <w:r>
        <w:rPr>
          <w:rFonts w:hint="eastAsia" w:ascii="宋体" w:hAnsi="宋体" w:eastAsia="宋体" w:cs="宋体"/>
          <w:sz w:val="28"/>
          <w:szCs w:val="28"/>
          <w:lang w:val="en-US" w:eastAsia="zh-CN"/>
        </w:rPr>
        <w:t>2868</w:t>
      </w:r>
      <w:r>
        <w:rPr>
          <w:rFonts w:hint="eastAsia" w:ascii="宋体" w:hAnsi="宋体" w:eastAsia="宋体" w:cs="宋体"/>
          <w:sz w:val="28"/>
          <w:szCs w:val="28"/>
          <w:lang w:eastAsia="zh-CN"/>
        </w:rPr>
        <w:t>m。由</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个拐点连线围成，采矿权范围拐点坐标见表1-1。</w:t>
      </w:r>
    </w:p>
    <w:p w14:paraId="37B17182">
      <w:pPr>
        <w:ind w:firstLine="422" w:firstLineChars="200"/>
        <w:jc w:val="center"/>
        <w:rPr>
          <w:rFonts w:hint="eastAsia" w:ascii="宋体" w:hAnsi="宋体" w:eastAsia="宋体" w:cs="宋体"/>
          <w:b/>
          <w:bCs/>
          <w:lang w:eastAsia="zh-CN"/>
        </w:rPr>
      </w:pPr>
      <w:r>
        <w:rPr>
          <w:rFonts w:hint="eastAsia" w:ascii="宋体" w:hAnsi="宋体" w:eastAsia="宋体" w:cs="宋体"/>
          <w:b/>
          <w:bCs/>
        </w:rPr>
        <w:t>表</w:t>
      </w:r>
      <w:r>
        <w:rPr>
          <w:rFonts w:hint="eastAsia" w:ascii="宋体" w:hAnsi="宋体" w:eastAsia="宋体" w:cs="宋体"/>
          <w:b/>
          <w:bCs/>
          <w:lang w:eastAsia="zh-CN"/>
        </w:rPr>
        <w:t>1</w:t>
      </w:r>
      <w:r>
        <w:rPr>
          <w:rFonts w:hint="eastAsia" w:ascii="宋体" w:hAnsi="宋体" w:eastAsia="宋体" w:cs="宋体"/>
          <w:b/>
          <w:bCs/>
        </w:rPr>
        <w:t>-1</w:t>
      </w:r>
      <w:r>
        <w:rPr>
          <w:rFonts w:hint="eastAsia" w:ascii="宋体" w:hAnsi="宋体" w:eastAsia="宋体" w:cs="宋体"/>
          <w:b/>
          <w:bCs/>
          <w:lang w:eastAsia="zh-CN"/>
        </w:rPr>
        <w:t xml:space="preserve">  采矿权范围坐标</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6"/>
        <w:gridCol w:w="2756"/>
        <w:gridCol w:w="2893"/>
      </w:tblGrid>
      <w:tr w14:paraId="4F018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2720" w:type="dxa"/>
            <w:vMerge w:val="restart"/>
            <w:shd w:val="clear" w:color="auto" w:fill="auto"/>
            <w:noWrap w:val="0"/>
            <w:vAlign w:val="center"/>
          </w:tcPr>
          <w:p w14:paraId="7781D8A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000000"/>
                <w:szCs w:val="21"/>
              </w:rPr>
            </w:pPr>
            <w:r>
              <w:rPr>
                <w:rFonts w:hint="eastAsia" w:ascii="宋体" w:hAnsi="宋体"/>
                <w:color w:val="000000"/>
                <w:szCs w:val="21"/>
              </w:rPr>
              <w:t>拐点编号</w:t>
            </w:r>
          </w:p>
        </w:tc>
        <w:tc>
          <w:tcPr>
            <w:tcW w:w="5748" w:type="dxa"/>
            <w:gridSpan w:val="2"/>
            <w:shd w:val="clear" w:color="auto" w:fill="auto"/>
            <w:noWrap w:val="0"/>
            <w:vAlign w:val="center"/>
          </w:tcPr>
          <w:p w14:paraId="3DCDC61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Theme="minorEastAsia" w:cstheme="minorBidi"/>
                <w:color w:val="000000"/>
                <w:kern w:val="2"/>
                <w:sz w:val="21"/>
                <w:szCs w:val="21"/>
                <w:lang w:val="en-US" w:eastAsia="zh-CN" w:bidi="ar-SA"/>
              </w:rPr>
            </w:pPr>
            <w:r>
              <w:rPr>
                <w:rFonts w:hint="eastAsia" w:ascii="宋体" w:hAnsi="宋体"/>
                <w:color w:val="000000"/>
                <w:szCs w:val="21"/>
                <w:lang w:val="en-US" w:eastAsia="zh-CN"/>
              </w:rPr>
              <w:t>2000国家大地</w:t>
            </w:r>
            <w:r>
              <w:rPr>
                <w:rFonts w:hint="eastAsia" w:ascii="宋体" w:hAnsi="宋体"/>
                <w:color w:val="000000"/>
                <w:szCs w:val="21"/>
              </w:rPr>
              <w:t>坐标系（6度带）</w:t>
            </w:r>
          </w:p>
        </w:tc>
      </w:tr>
      <w:tr w14:paraId="6C0C6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2720" w:type="dxa"/>
            <w:vMerge w:val="continue"/>
            <w:shd w:val="clear" w:color="auto" w:fill="auto"/>
            <w:noWrap w:val="0"/>
            <w:vAlign w:val="center"/>
          </w:tcPr>
          <w:p w14:paraId="05B0B2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000000"/>
                <w:szCs w:val="21"/>
              </w:rPr>
            </w:pPr>
          </w:p>
        </w:tc>
        <w:tc>
          <w:tcPr>
            <w:tcW w:w="2805" w:type="dxa"/>
            <w:shd w:val="clear" w:color="auto" w:fill="auto"/>
            <w:noWrap w:val="0"/>
            <w:vAlign w:val="center"/>
          </w:tcPr>
          <w:p w14:paraId="43D070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Theme="minorEastAsia" w:cstheme="minorBidi"/>
                <w:color w:val="000000"/>
                <w:kern w:val="2"/>
                <w:sz w:val="21"/>
                <w:szCs w:val="21"/>
                <w:lang w:val="en-US" w:eastAsia="zh-CN" w:bidi="ar-SA"/>
              </w:rPr>
            </w:pPr>
            <w:r>
              <w:rPr>
                <w:rFonts w:hint="eastAsia" w:ascii="宋体" w:hAnsi="宋体" w:eastAsiaTheme="minorEastAsia"/>
                <w:color w:val="000000"/>
                <w:szCs w:val="21"/>
                <w:lang w:val="en-US" w:eastAsia="zh-CN"/>
              </w:rPr>
              <w:t>X</w:t>
            </w:r>
          </w:p>
        </w:tc>
        <w:tc>
          <w:tcPr>
            <w:tcW w:w="2943" w:type="dxa"/>
            <w:shd w:val="clear" w:color="auto" w:fill="auto"/>
            <w:noWrap w:val="0"/>
            <w:vAlign w:val="center"/>
          </w:tcPr>
          <w:p w14:paraId="3492D20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000000"/>
                <w:szCs w:val="21"/>
                <w:lang w:val="en-US" w:eastAsia="zh-CN"/>
              </w:rPr>
            </w:pPr>
            <w:r>
              <w:rPr>
                <w:rFonts w:hint="eastAsia" w:ascii="宋体" w:hAnsi="宋体" w:eastAsia="宋体"/>
                <w:color w:val="000000"/>
                <w:szCs w:val="21"/>
                <w:lang w:val="en-US" w:eastAsia="zh-CN"/>
              </w:rPr>
              <w:t>Y</w:t>
            </w:r>
          </w:p>
        </w:tc>
      </w:tr>
      <w:tr w14:paraId="2226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0" w:type="dxa"/>
            <w:noWrap w:val="0"/>
            <w:vAlign w:val="center"/>
          </w:tcPr>
          <w:p w14:paraId="53989C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000000"/>
                <w:szCs w:val="21"/>
              </w:rPr>
            </w:pPr>
            <w:r>
              <w:rPr>
                <w:rFonts w:hint="eastAsia" w:ascii="宋体" w:hAnsi="宋体"/>
                <w:color w:val="000000"/>
                <w:szCs w:val="21"/>
              </w:rPr>
              <w:t>J</w:t>
            </w:r>
            <w:r>
              <w:rPr>
                <w:rFonts w:hint="eastAsia" w:ascii="宋体" w:hAnsi="宋体"/>
                <w:color w:val="000000"/>
                <w:szCs w:val="21"/>
                <w:vertAlign w:val="subscript"/>
              </w:rPr>
              <w:t>1</w:t>
            </w:r>
          </w:p>
        </w:tc>
        <w:tc>
          <w:tcPr>
            <w:tcW w:w="2805" w:type="dxa"/>
            <w:noWrap w:val="0"/>
            <w:vAlign w:val="center"/>
          </w:tcPr>
          <w:p w14:paraId="4F9E18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Theme="minorEastAsia" w:cstheme="minorBidi"/>
                <w:color w:val="000000"/>
                <w:kern w:val="2"/>
                <w:sz w:val="21"/>
                <w:szCs w:val="21"/>
                <w:lang w:val="en-US" w:eastAsia="zh-CN" w:bidi="ar-SA"/>
              </w:rPr>
            </w:pPr>
            <w:r>
              <w:rPr>
                <w:rFonts w:ascii="宋体" w:hAnsi="宋体"/>
                <w:szCs w:val="21"/>
              </w:rPr>
              <w:t>402</w:t>
            </w:r>
            <w:r>
              <w:rPr>
                <w:rFonts w:hint="eastAsia" w:ascii="宋体" w:hAnsi="宋体"/>
                <w:szCs w:val="21"/>
              </w:rPr>
              <w:t>28</w:t>
            </w:r>
            <w:r>
              <w:rPr>
                <w:rFonts w:hint="eastAsia" w:ascii="宋体" w:hAnsi="宋体"/>
                <w:szCs w:val="21"/>
                <w:lang w:val="en-US" w:eastAsia="zh-CN"/>
              </w:rPr>
              <w:t>50.22</w:t>
            </w:r>
          </w:p>
        </w:tc>
        <w:tc>
          <w:tcPr>
            <w:tcW w:w="2943" w:type="dxa"/>
            <w:noWrap w:val="0"/>
            <w:vAlign w:val="center"/>
          </w:tcPr>
          <w:p w14:paraId="698A69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Theme="minorEastAsia" w:cstheme="minorBidi"/>
                <w:color w:val="000000"/>
                <w:kern w:val="2"/>
                <w:sz w:val="21"/>
                <w:szCs w:val="21"/>
                <w:lang w:val="en-US" w:eastAsia="zh-CN" w:bidi="ar-SA"/>
              </w:rPr>
            </w:pPr>
            <w:r>
              <w:rPr>
                <w:rFonts w:ascii="宋体" w:hAnsi="宋体"/>
                <w:szCs w:val="21"/>
              </w:rPr>
              <w:t>16669</w:t>
            </w:r>
            <w:r>
              <w:rPr>
                <w:rFonts w:hint="eastAsia" w:ascii="宋体" w:hAnsi="宋体"/>
                <w:szCs w:val="21"/>
                <w:lang w:val="en-US" w:eastAsia="zh-CN"/>
              </w:rPr>
              <w:t>559.87</w:t>
            </w:r>
          </w:p>
        </w:tc>
      </w:tr>
      <w:tr w14:paraId="4BE48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0" w:type="dxa"/>
            <w:noWrap w:val="0"/>
            <w:vAlign w:val="center"/>
          </w:tcPr>
          <w:p w14:paraId="17D0A7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000000"/>
                <w:szCs w:val="21"/>
              </w:rPr>
            </w:pPr>
            <w:r>
              <w:rPr>
                <w:rFonts w:hint="eastAsia" w:ascii="宋体" w:hAnsi="宋体"/>
                <w:color w:val="000000"/>
                <w:szCs w:val="21"/>
              </w:rPr>
              <w:t>J</w:t>
            </w:r>
            <w:r>
              <w:rPr>
                <w:rFonts w:hint="eastAsia" w:ascii="宋体" w:hAnsi="宋体"/>
                <w:color w:val="000000"/>
                <w:szCs w:val="21"/>
                <w:vertAlign w:val="subscript"/>
              </w:rPr>
              <w:t>2</w:t>
            </w:r>
          </w:p>
        </w:tc>
        <w:tc>
          <w:tcPr>
            <w:tcW w:w="2805" w:type="dxa"/>
            <w:noWrap w:val="0"/>
            <w:vAlign w:val="center"/>
          </w:tcPr>
          <w:p w14:paraId="6256BA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Theme="minorEastAsia" w:cstheme="minorBidi"/>
                <w:color w:val="000000"/>
                <w:kern w:val="2"/>
                <w:sz w:val="21"/>
                <w:szCs w:val="21"/>
                <w:lang w:val="en-US" w:eastAsia="zh-CN" w:bidi="ar-SA"/>
              </w:rPr>
            </w:pPr>
            <w:r>
              <w:rPr>
                <w:rFonts w:ascii="宋体" w:hAnsi="宋体"/>
                <w:szCs w:val="21"/>
              </w:rPr>
              <w:t>4023</w:t>
            </w:r>
            <w:r>
              <w:rPr>
                <w:rFonts w:hint="eastAsia" w:ascii="宋体" w:hAnsi="宋体"/>
                <w:szCs w:val="21"/>
                <w:lang w:val="en-US" w:eastAsia="zh-CN"/>
              </w:rPr>
              <w:t>418.23</w:t>
            </w:r>
          </w:p>
        </w:tc>
        <w:tc>
          <w:tcPr>
            <w:tcW w:w="2943" w:type="dxa"/>
            <w:noWrap w:val="0"/>
            <w:vAlign w:val="center"/>
          </w:tcPr>
          <w:p w14:paraId="379026F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Theme="minorEastAsia" w:cstheme="minorBidi"/>
                <w:color w:val="000000"/>
                <w:kern w:val="2"/>
                <w:sz w:val="21"/>
                <w:szCs w:val="21"/>
                <w:lang w:val="en-US" w:eastAsia="zh-CN" w:bidi="ar-SA"/>
              </w:rPr>
            </w:pPr>
            <w:r>
              <w:rPr>
                <w:rFonts w:ascii="宋体" w:hAnsi="宋体"/>
                <w:szCs w:val="21"/>
              </w:rPr>
              <w:t>16671</w:t>
            </w:r>
            <w:r>
              <w:rPr>
                <w:rFonts w:hint="eastAsia" w:ascii="宋体" w:hAnsi="宋体"/>
                <w:szCs w:val="21"/>
                <w:lang w:val="en-US" w:eastAsia="zh-CN"/>
              </w:rPr>
              <w:t>994.89</w:t>
            </w:r>
          </w:p>
        </w:tc>
      </w:tr>
      <w:tr w14:paraId="34B15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0" w:type="dxa"/>
            <w:noWrap w:val="0"/>
            <w:vAlign w:val="center"/>
          </w:tcPr>
          <w:p w14:paraId="5DFB762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000000"/>
                <w:szCs w:val="21"/>
              </w:rPr>
            </w:pPr>
            <w:r>
              <w:rPr>
                <w:rFonts w:hint="eastAsia" w:ascii="宋体" w:hAnsi="宋体"/>
                <w:color w:val="000000"/>
                <w:szCs w:val="21"/>
              </w:rPr>
              <w:t>J</w:t>
            </w:r>
            <w:r>
              <w:rPr>
                <w:rFonts w:hint="eastAsia" w:ascii="宋体" w:hAnsi="宋体"/>
                <w:color w:val="000000"/>
                <w:szCs w:val="21"/>
                <w:vertAlign w:val="subscript"/>
              </w:rPr>
              <w:t>3</w:t>
            </w:r>
          </w:p>
        </w:tc>
        <w:tc>
          <w:tcPr>
            <w:tcW w:w="2805" w:type="dxa"/>
            <w:noWrap w:val="0"/>
            <w:vAlign w:val="center"/>
          </w:tcPr>
          <w:p w14:paraId="2D5C12D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Theme="minorEastAsia" w:cstheme="minorBidi"/>
                <w:color w:val="000000"/>
                <w:kern w:val="2"/>
                <w:sz w:val="21"/>
                <w:szCs w:val="21"/>
                <w:lang w:val="en-US" w:eastAsia="zh-CN" w:bidi="ar-SA"/>
              </w:rPr>
            </w:pPr>
            <w:r>
              <w:rPr>
                <w:rFonts w:ascii="宋体" w:hAnsi="宋体"/>
                <w:szCs w:val="21"/>
              </w:rPr>
              <w:t>4023</w:t>
            </w:r>
            <w:r>
              <w:rPr>
                <w:rFonts w:hint="eastAsia" w:ascii="宋体" w:hAnsi="宋体"/>
                <w:szCs w:val="21"/>
              </w:rPr>
              <w:t>0</w:t>
            </w:r>
            <w:r>
              <w:rPr>
                <w:rFonts w:hint="eastAsia" w:ascii="宋体" w:hAnsi="宋体"/>
                <w:szCs w:val="21"/>
                <w:lang w:val="en-US" w:eastAsia="zh-CN"/>
              </w:rPr>
              <w:t>28.22</w:t>
            </w:r>
          </w:p>
        </w:tc>
        <w:tc>
          <w:tcPr>
            <w:tcW w:w="2943" w:type="dxa"/>
            <w:noWrap w:val="0"/>
            <w:vAlign w:val="center"/>
          </w:tcPr>
          <w:p w14:paraId="30DBF4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Theme="minorEastAsia" w:cstheme="minorBidi"/>
                <w:color w:val="000000"/>
                <w:kern w:val="2"/>
                <w:sz w:val="21"/>
                <w:szCs w:val="21"/>
                <w:lang w:val="en-US" w:eastAsia="zh-CN" w:bidi="ar-SA"/>
              </w:rPr>
            </w:pPr>
            <w:r>
              <w:rPr>
                <w:rFonts w:ascii="宋体" w:hAnsi="宋体"/>
                <w:szCs w:val="21"/>
              </w:rPr>
              <w:t>1667</w:t>
            </w:r>
            <w:r>
              <w:rPr>
                <w:rFonts w:hint="eastAsia" w:ascii="宋体" w:hAnsi="宋体"/>
                <w:szCs w:val="21"/>
                <w:lang w:val="en-US" w:eastAsia="zh-CN"/>
              </w:rPr>
              <w:t>2085.89</w:t>
            </w:r>
          </w:p>
        </w:tc>
      </w:tr>
      <w:tr w14:paraId="79A27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0" w:type="dxa"/>
            <w:noWrap w:val="0"/>
            <w:vAlign w:val="center"/>
          </w:tcPr>
          <w:p w14:paraId="2BB9FC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olor w:val="000000"/>
                <w:szCs w:val="21"/>
              </w:rPr>
            </w:pPr>
            <w:r>
              <w:rPr>
                <w:rFonts w:hint="eastAsia" w:ascii="宋体" w:hAnsi="宋体"/>
                <w:color w:val="000000"/>
                <w:szCs w:val="21"/>
              </w:rPr>
              <w:t>J</w:t>
            </w:r>
            <w:r>
              <w:rPr>
                <w:rFonts w:hint="eastAsia" w:ascii="宋体" w:hAnsi="宋体"/>
                <w:color w:val="000000"/>
                <w:szCs w:val="21"/>
                <w:vertAlign w:val="subscript"/>
              </w:rPr>
              <w:t>4</w:t>
            </w:r>
          </w:p>
        </w:tc>
        <w:tc>
          <w:tcPr>
            <w:tcW w:w="2805" w:type="dxa"/>
            <w:noWrap w:val="0"/>
            <w:vAlign w:val="center"/>
          </w:tcPr>
          <w:p w14:paraId="333FCA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Theme="minorEastAsia" w:cstheme="minorBidi"/>
                <w:color w:val="000000"/>
                <w:kern w:val="2"/>
                <w:sz w:val="21"/>
                <w:szCs w:val="21"/>
                <w:lang w:val="en-US" w:eastAsia="zh-CN" w:bidi="ar-SA"/>
              </w:rPr>
            </w:pPr>
            <w:r>
              <w:rPr>
                <w:rFonts w:ascii="宋体" w:hAnsi="宋体"/>
                <w:szCs w:val="21"/>
              </w:rPr>
              <w:t>4022</w:t>
            </w:r>
            <w:r>
              <w:rPr>
                <w:rFonts w:hint="eastAsia" w:ascii="宋体" w:hAnsi="宋体"/>
                <w:szCs w:val="21"/>
              </w:rPr>
              <w:t>4</w:t>
            </w:r>
            <w:r>
              <w:rPr>
                <w:rFonts w:hint="eastAsia" w:ascii="宋体" w:hAnsi="宋体"/>
                <w:szCs w:val="21"/>
                <w:lang w:val="en-US" w:eastAsia="zh-CN"/>
              </w:rPr>
              <w:t>61.22</w:t>
            </w:r>
          </w:p>
        </w:tc>
        <w:tc>
          <w:tcPr>
            <w:tcW w:w="2943" w:type="dxa"/>
            <w:noWrap w:val="0"/>
            <w:vAlign w:val="center"/>
          </w:tcPr>
          <w:p w14:paraId="580C78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Theme="minorEastAsia" w:cstheme="minorBidi"/>
                <w:color w:val="000000"/>
                <w:kern w:val="2"/>
                <w:sz w:val="21"/>
                <w:szCs w:val="21"/>
                <w:lang w:val="en-US" w:eastAsia="zh-CN" w:bidi="ar-SA"/>
              </w:rPr>
            </w:pPr>
            <w:r>
              <w:rPr>
                <w:rFonts w:ascii="宋体" w:hAnsi="宋体"/>
                <w:szCs w:val="21"/>
              </w:rPr>
              <w:t>16669</w:t>
            </w:r>
            <w:r>
              <w:rPr>
                <w:rFonts w:hint="eastAsia" w:ascii="宋体" w:hAnsi="宋体"/>
                <w:szCs w:val="21"/>
                <w:lang w:val="en-US" w:eastAsia="zh-CN"/>
              </w:rPr>
              <w:t>650.87</w:t>
            </w:r>
          </w:p>
        </w:tc>
      </w:tr>
      <w:tr w14:paraId="3D3FA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8" w:type="dxa"/>
            <w:gridSpan w:val="3"/>
            <w:noWrap w:val="0"/>
            <w:vAlign w:val="center"/>
          </w:tcPr>
          <w:p w14:paraId="2DAC5D84">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ascii="宋体" w:hAnsi="宋体"/>
                <w:szCs w:val="21"/>
              </w:rPr>
            </w:pPr>
            <w:r>
              <w:rPr>
                <w:rFonts w:hint="eastAsia" w:ascii="宋体" w:hAnsi="宋体"/>
                <w:sz w:val="21"/>
                <w:szCs w:val="21"/>
              </w:rPr>
              <w:t>开采深度为：2896～2868m（依地形平均向下开采4m）面积：</w:t>
            </w:r>
            <w:r>
              <w:rPr>
                <w:rFonts w:hint="eastAsia" w:ascii="宋体" w:hAnsi="宋体" w:cs="宋体"/>
                <w:kern w:val="0"/>
                <w:sz w:val="21"/>
                <w:szCs w:val="21"/>
                <w:lang w:val="en-US" w:eastAsia="zh-CN"/>
              </w:rPr>
              <w:t>0.9996</w:t>
            </w:r>
            <w:r>
              <w:rPr>
                <w:rFonts w:hint="eastAsia" w:ascii="宋体" w:hAnsi="宋体" w:cs="宋体"/>
                <w:kern w:val="0"/>
                <w:sz w:val="21"/>
                <w:szCs w:val="21"/>
              </w:rPr>
              <w:t>k</w:t>
            </w:r>
            <w:r>
              <w:rPr>
                <w:rFonts w:hint="eastAsia" w:ascii="宋体" w:hAnsi="宋体"/>
                <w:sz w:val="21"/>
                <w:szCs w:val="21"/>
              </w:rPr>
              <w:t>m</w:t>
            </w:r>
            <w:r>
              <w:rPr>
                <w:rFonts w:hint="eastAsia" w:ascii="宋体" w:hAnsi="宋体"/>
                <w:sz w:val="21"/>
                <w:szCs w:val="21"/>
                <w:vertAlign w:val="superscript"/>
              </w:rPr>
              <w:t>2</w:t>
            </w:r>
            <w:r>
              <w:rPr>
                <w:rFonts w:hint="eastAsia" w:ascii="宋体" w:hAnsi="宋体"/>
                <w:sz w:val="21"/>
                <w:szCs w:val="21"/>
              </w:rPr>
              <w:t>。</w:t>
            </w:r>
          </w:p>
        </w:tc>
      </w:tr>
    </w:tbl>
    <w:p w14:paraId="12C8632E">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3、工程总体平面布局</w:t>
      </w:r>
    </w:p>
    <w:p w14:paraId="67B0504A">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矿区总体布置基于交通运输、供电、供水等方面的因素综合考虑，并充分利用山势地形进行合理布置。矿区由采矿场地、工业场地，矿山道路等几部分组成。工业场地及矿山道路等利用矿山原场地，不再新设场地。各工程场地位置及现状如下：</w:t>
      </w:r>
    </w:p>
    <w:p w14:paraId="549A2465">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⑴</w:t>
      </w:r>
      <w:r>
        <w:rPr>
          <w:rFonts w:hint="eastAsia" w:ascii="宋体" w:hAnsi="宋体" w:eastAsia="宋体" w:cs="宋体"/>
          <w:sz w:val="28"/>
          <w:szCs w:val="28"/>
          <w:lang w:val="en-US" w:eastAsia="zh-CN"/>
        </w:rPr>
        <w:t>工业场地（利旧）</w:t>
      </w:r>
    </w:p>
    <w:p w14:paraId="0AE8010F">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矿山拟建工业场地位于矿区北侧约30m处；主要包括配电室、值</w:t>
      </w:r>
    </w:p>
    <w:p w14:paraId="50E05051">
      <w:pPr>
        <w:widowControl w:val="0"/>
        <w:kinsoku/>
        <w:adjustRightInd/>
        <w:snapToGrid/>
        <w:spacing w:line="360" w:lineRule="auto"/>
        <w:jc w:val="both"/>
        <w:rPr>
          <w:rFonts w:hint="eastAsia" w:ascii="宋体" w:hAnsi="宋体" w:eastAsia="宋体" w:cs="宋体"/>
          <w:sz w:val="28"/>
          <w:szCs w:val="28"/>
          <w:vertAlign w:val="baseline"/>
          <w:lang w:eastAsia="zh-CN"/>
        </w:rPr>
      </w:pPr>
      <w:r>
        <w:rPr>
          <w:rFonts w:hint="eastAsia" w:ascii="宋体" w:hAnsi="宋体" w:eastAsia="宋体" w:cs="宋体"/>
          <w:sz w:val="28"/>
          <w:szCs w:val="28"/>
          <w:lang w:eastAsia="zh-CN"/>
        </w:rPr>
        <w:t>班室、办公室、加工场、堆料场、机修房等设施，总面积约4.23hm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5"/>
      </w:tblGrid>
      <w:tr w14:paraId="30B00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6" w:hRule="atLeast"/>
        </w:trPr>
        <w:tc>
          <w:tcPr>
            <w:tcW w:w="8521" w:type="dxa"/>
          </w:tcPr>
          <w:p w14:paraId="16873C42">
            <w:pPr>
              <w:widowControl w:val="0"/>
              <w:kinsoku/>
              <w:adjustRightInd/>
              <w:snapToGrid/>
              <w:spacing w:line="360" w:lineRule="auto"/>
              <w:jc w:val="both"/>
              <w:rPr>
                <w:rFonts w:hint="eastAsia" w:ascii="宋体" w:hAnsi="宋体" w:eastAsia="宋体" w:cs="宋体"/>
                <w:sz w:val="28"/>
                <w:szCs w:val="28"/>
                <w:vertAlign w:val="baseline"/>
                <w:lang w:eastAsia="zh-CN"/>
              </w:rPr>
            </w:pPr>
            <w:r>
              <w:rPr>
                <w:rFonts w:hint="eastAsia" w:eastAsia="宋体"/>
                <w:lang w:eastAsia="zh-CN"/>
              </w:rPr>
              <w:drawing>
                <wp:anchor distT="0" distB="0" distL="114300" distR="114300" simplePos="0" relativeHeight="251673600" behindDoc="1" locked="0" layoutInCell="1" allowOverlap="1">
                  <wp:simplePos x="0" y="0"/>
                  <wp:positionH relativeFrom="column">
                    <wp:posOffset>-38100</wp:posOffset>
                  </wp:positionH>
                  <wp:positionV relativeFrom="paragraph">
                    <wp:posOffset>25400</wp:posOffset>
                  </wp:positionV>
                  <wp:extent cx="5360035" cy="3966210"/>
                  <wp:effectExtent l="0" t="0" r="12065" b="15240"/>
                  <wp:wrapNone/>
                  <wp:docPr id="11" name="图片 11" descr="微信图片_20260107191022_81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260107191022_81_18"/>
                          <pic:cNvPicPr>
                            <a:picLocks noChangeAspect="1"/>
                          </pic:cNvPicPr>
                        </pic:nvPicPr>
                        <pic:blipFill>
                          <a:blip r:embed="rId15"/>
                          <a:srcRect b="1849"/>
                          <a:stretch>
                            <a:fillRect/>
                          </a:stretch>
                        </pic:blipFill>
                        <pic:spPr>
                          <a:xfrm>
                            <a:off x="0" y="0"/>
                            <a:ext cx="5360035" cy="3966210"/>
                          </a:xfrm>
                          <a:prstGeom prst="rect">
                            <a:avLst/>
                          </a:prstGeom>
                        </pic:spPr>
                      </pic:pic>
                    </a:graphicData>
                  </a:graphic>
                </wp:anchor>
              </w:drawing>
            </w:r>
          </w:p>
        </w:tc>
      </w:tr>
    </w:tbl>
    <w:p w14:paraId="7EC8DC58">
      <w:pPr>
        <w:ind w:firstLine="422" w:firstLineChars="200"/>
        <w:jc w:val="center"/>
        <w:rPr>
          <w:rFonts w:hint="eastAsia" w:ascii="宋体" w:hAnsi="宋体" w:eastAsia="宋体" w:cs="宋体"/>
          <w:b/>
          <w:bCs/>
        </w:rPr>
      </w:pPr>
      <w:r>
        <w:rPr>
          <w:rFonts w:hint="eastAsia" w:ascii="宋体" w:hAnsi="宋体" w:eastAsia="宋体" w:cs="宋体"/>
          <w:b/>
          <w:bCs/>
        </w:rPr>
        <w:t xml:space="preserve">图1-2 </w:t>
      </w:r>
      <w:r>
        <w:rPr>
          <w:rFonts w:hint="eastAsia" w:ascii="宋体" w:hAnsi="宋体" w:eastAsia="宋体" w:cs="宋体"/>
          <w:b/>
          <w:bCs/>
          <w:lang w:val="en-US" w:eastAsia="zh-CN"/>
        </w:rPr>
        <w:t xml:space="preserve"> </w:t>
      </w:r>
      <w:r>
        <w:rPr>
          <w:rFonts w:hint="eastAsia" w:ascii="宋体" w:hAnsi="宋体" w:eastAsia="宋体" w:cs="宋体"/>
          <w:b/>
          <w:bCs/>
        </w:rPr>
        <w:t>平面布置示意图</w:t>
      </w:r>
    </w:p>
    <w:p w14:paraId="007928BD">
      <w:pPr>
        <w:jc w:val="center"/>
        <w:rPr>
          <w:rFonts w:hint="eastAsia" w:ascii="宋体" w:hAnsi="宋体" w:eastAsia="宋体" w:cs="宋体"/>
          <w:b/>
          <w:bCs/>
          <w:lang w:eastAsia="zh-CN"/>
        </w:rPr>
      </w:pPr>
      <w:r>
        <w:rPr>
          <w:rFonts w:hint="eastAsia" w:ascii="宋体" w:hAnsi="宋体" w:eastAsia="宋体" w:cs="宋体"/>
          <w:b/>
          <w:bCs/>
          <w:lang w:eastAsia="zh-CN"/>
        </w:rPr>
        <w:drawing>
          <wp:inline distT="0" distB="0" distL="114300" distR="114300">
            <wp:extent cx="4923155" cy="3691255"/>
            <wp:effectExtent l="0" t="0" r="10795" b="4445"/>
            <wp:docPr id="14" name="图片 14" descr="微信图片_20251224184954_63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251224184954_63_18"/>
                    <pic:cNvPicPr>
                      <a:picLocks noChangeAspect="1"/>
                    </pic:cNvPicPr>
                  </pic:nvPicPr>
                  <pic:blipFill>
                    <a:blip r:embed="rId16"/>
                    <a:stretch>
                      <a:fillRect/>
                    </a:stretch>
                  </pic:blipFill>
                  <pic:spPr>
                    <a:xfrm>
                      <a:off x="0" y="0"/>
                      <a:ext cx="4923155" cy="3691255"/>
                    </a:xfrm>
                    <a:prstGeom prst="rect">
                      <a:avLst/>
                    </a:prstGeom>
                  </pic:spPr>
                </pic:pic>
              </a:graphicData>
            </a:graphic>
          </wp:inline>
        </w:drawing>
      </w:r>
    </w:p>
    <w:p w14:paraId="573D62FC">
      <w:pPr>
        <w:ind w:firstLine="422" w:firstLineChars="200"/>
        <w:jc w:val="center"/>
        <w:rPr>
          <w:rFonts w:hint="eastAsia" w:ascii="宋体" w:hAnsi="宋体" w:eastAsia="宋体" w:cs="宋体"/>
          <w:b/>
          <w:bCs/>
          <w:lang w:eastAsia="zh-CN"/>
        </w:rPr>
      </w:pPr>
      <w:r>
        <w:rPr>
          <w:rFonts w:hint="eastAsia" w:ascii="宋体" w:hAnsi="宋体" w:eastAsia="宋体" w:cs="宋体"/>
          <w:b/>
          <w:bCs/>
          <w:lang w:eastAsia="zh-CN"/>
        </w:rPr>
        <w:t>照片</w:t>
      </w:r>
      <w:r>
        <w:rPr>
          <w:rFonts w:hint="eastAsia" w:ascii="宋体" w:hAnsi="宋体" w:eastAsia="宋体" w:cs="宋体"/>
          <w:b/>
          <w:bCs/>
        </w:rPr>
        <w:t>1-</w:t>
      </w:r>
      <w:r>
        <w:rPr>
          <w:rFonts w:hint="eastAsia" w:ascii="宋体" w:hAnsi="宋体" w:eastAsia="宋体" w:cs="宋体"/>
          <w:b/>
          <w:bCs/>
          <w:lang w:val="en-US" w:eastAsia="zh-CN"/>
        </w:rPr>
        <w:t>1</w:t>
      </w:r>
      <w:r>
        <w:rPr>
          <w:rFonts w:hint="eastAsia" w:ascii="宋体" w:hAnsi="宋体" w:eastAsia="宋体" w:cs="宋体"/>
          <w:b/>
          <w:bCs/>
        </w:rPr>
        <w:t xml:space="preserve">  </w:t>
      </w:r>
      <w:r>
        <w:rPr>
          <w:rFonts w:hint="eastAsia" w:ascii="宋体" w:hAnsi="宋体" w:eastAsia="宋体" w:cs="宋体"/>
          <w:b/>
          <w:bCs/>
          <w:lang w:eastAsia="zh-CN"/>
        </w:rPr>
        <w:t>工业场地料堆现状照</w:t>
      </w:r>
    </w:p>
    <w:p w14:paraId="126492A9">
      <w:pPr>
        <w:jc w:val="center"/>
        <w:rPr>
          <w:rFonts w:hint="eastAsia" w:ascii="宋体" w:hAnsi="宋体" w:eastAsia="宋体" w:cs="宋体"/>
          <w:b/>
          <w:bCs/>
          <w:lang w:eastAsia="zh-CN"/>
        </w:rPr>
      </w:pPr>
      <w:r>
        <w:rPr>
          <w:rFonts w:hint="eastAsia" w:ascii="宋体" w:hAnsi="宋体" w:eastAsia="宋体" w:cs="宋体"/>
          <w:b/>
          <w:bCs/>
          <w:lang w:eastAsia="zh-CN"/>
        </w:rPr>
        <w:drawing>
          <wp:inline distT="0" distB="0" distL="114300" distR="114300">
            <wp:extent cx="4962525" cy="2794000"/>
            <wp:effectExtent l="0" t="0" r="9525" b="6350"/>
            <wp:docPr id="15" name="图片 15" descr="微信图片_20260107212054_88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微信图片_20260107212054_88_18"/>
                    <pic:cNvPicPr>
                      <a:picLocks noChangeAspect="1"/>
                    </pic:cNvPicPr>
                  </pic:nvPicPr>
                  <pic:blipFill>
                    <a:blip r:embed="rId17"/>
                    <a:stretch>
                      <a:fillRect/>
                    </a:stretch>
                  </pic:blipFill>
                  <pic:spPr>
                    <a:xfrm>
                      <a:off x="0" y="0"/>
                      <a:ext cx="4962525" cy="2794000"/>
                    </a:xfrm>
                    <a:prstGeom prst="rect">
                      <a:avLst/>
                    </a:prstGeom>
                  </pic:spPr>
                </pic:pic>
              </a:graphicData>
            </a:graphic>
          </wp:inline>
        </w:drawing>
      </w:r>
    </w:p>
    <w:p w14:paraId="22688683">
      <w:pPr>
        <w:ind w:firstLine="422" w:firstLineChars="200"/>
        <w:jc w:val="center"/>
        <w:rPr>
          <w:rFonts w:hint="eastAsia" w:ascii="宋体" w:hAnsi="宋体" w:eastAsia="宋体" w:cs="宋体"/>
          <w:b/>
          <w:bCs/>
          <w:lang w:eastAsia="zh-CN"/>
        </w:rPr>
      </w:pPr>
      <w:r>
        <w:rPr>
          <w:rFonts w:hint="eastAsia" w:ascii="宋体" w:hAnsi="宋体" w:eastAsia="宋体" w:cs="宋体"/>
          <w:b/>
          <w:bCs/>
          <w:lang w:eastAsia="zh-CN"/>
        </w:rPr>
        <w:t>照片</w:t>
      </w:r>
      <w:r>
        <w:rPr>
          <w:rFonts w:hint="eastAsia" w:ascii="宋体" w:hAnsi="宋体" w:eastAsia="宋体" w:cs="宋体"/>
          <w:b/>
          <w:bCs/>
        </w:rPr>
        <w:t>1-</w:t>
      </w:r>
      <w:r>
        <w:rPr>
          <w:rFonts w:hint="eastAsia" w:ascii="宋体" w:hAnsi="宋体" w:eastAsia="宋体" w:cs="宋体"/>
          <w:b/>
          <w:bCs/>
          <w:lang w:val="en-US" w:eastAsia="zh-CN"/>
        </w:rPr>
        <w:t>2</w:t>
      </w:r>
      <w:r>
        <w:rPr>
          <w:rFonts w:hint="eastAsia" w:ascii="宋体" w:hAnsi="宋体" w:eastAsia="宋体" w:cs="宋体"/>
          <w:b/>
          <w:bCs/>
        </w:rPr>
        <w:t xml:space="preserve">  </w:t>
      </w:r>
      <w:r>
        <w:rPr>
          <w:rFonts w:hint="eastAsia" w:ascii="宋体" w:hAnsi="宋体" w:eastAsia="宋体" w:cs="宋体"/>
          <w:b/>
          <w:bCs/>
          <w:lang w:eastAsia="zh-CN"/>
        </w:rPr>
        <w:t>工业场地破碎加工车间现状照</w:t>
      </w:r>
    </w:p>
    <w:p w14:paraId="5F20C8AC">
      <w:pPr>
        <w:widowControl w:val="0"/>
        <w:kinsoku/>
        <w:adjustRightInd/>
        <w:snapToGrid/>
        <w:spacing w:line="360" w:lineRule="auto"/>
        <w:ind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lang w:eastAsia="zh-CN"/>
        </w:rPr>
        <w:t>⑵</w:t>
      </w:r>
      <w:r>
        <w:rPr>
          <w:rFonts w:hint="eastAsia" w:ascii="宋体" w:hAnsi="宋体" w:eastAsia="宋体" w:cs="宋体"/>
          <w:sz w:val="28"/>
          <w:szCs w:val="28"/>
          <w:lang w:val="en-US" w:eastAsia="zh-CN"/>
        </w:rPr>
        <w:t>采矿场地</w:t>
      </w:r>
    </w:p>
    <w:p w14:paraId="005F59AE">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val="en-US" w:eastAsia="zh-CN"/>
        </w:rPr>
        <w:t>采矿场地占地</w:t>
      </w:r>
      <w:r>
        <w:rPr>
          <w:rFonts w:hint="default" w:ascii="宋体" w:hAnsi="宋体" w:eastAsia="宋体" w:cs="宋体"/>
          <w:sz w:val="28"/>
          <w:szCs w:val="28"/>
          <w:lang w:val="en-US" w:eastAsia="zh-CN"/>
        </w:rPr>
        <w:t>0.999</w:t>
      </w:r>
      <w:r>
        <w:rPr>
          <w:rFonts w:hint="eastAsia" w:ascii="宋体" w:hAnsi="宋体" w:eastAsia="宋体" w:cs="宋体"/>
          <w:sz w:val="28"/>
          <w:szCs w:val="28"/>
          <w:lang w:val="en-US" w:eastAsia="zh-CN"/>
        </w:rPr>
        <w:t>6</w:t>
      </w:r>
      <w:r>
        <w:rPr>
          <w:rFonts w:hint="default" w:ascii="宋体" w:hAnsi="宋体" w:eastAsia="宋体" w:cs="宋体"/>
          <w:sz w:val="28"/>
          <w:szCs w:val="28"/>
          <w:lang w:val="en-US" w:eastAsia="zh-CN"/>
        </w:rPr>
        <w:t>km</w:t>
      </w:r>
      <w:r>
        <w:rPr>
          <w:rFonts w:hint="default" w:ascii="宋体" w:hAnsi="宋体" w:eastAsia="宋体" w:cs="宋体"/>
          <w:sz w:val="28"/>
          <w:szCs w:val="28"/>
          <w:vertAlign w:val="superscript"/>
          <w:lang w:val="en-US" w:eastAsia="zh-CN"/>
        </w:rPr>
        <w:t>2</w:t>
      </w:r>
      <w:r>
        <w:rPr>
          <w:rFonts w:hint="eastAsia" w:ascii="宋体" w:hAnsi="宋体" w:eastAsia="宋体" w:cs="宋体"/>
          <w:sz w:val="28"/>
          <w:szCs w:val="28"/>
          <w:lang w:val="en-US" w:eastAsia="zh-CN"/>
        </w:rPr>
        <w:t>；共有</w:t>
      </w:r>
      <w:r>
        <w:rPr>
          <w:rFonts w:hint="default" w:ascii="宋体" w:hAnsi="宋体" w:eastAsia="宋体" w:cs="宋体"/>
          <w:sz w:val="28"/>
          <w:szCs w:val="28"/>
          <w:lang w:val="en-US" w:eastAsia="zh-CN"/>
        </w:rPr>
        <w:t>1</w:t>
      </w:r>
      <w:r>
        <w:rPr>
          <w:rFonts w:hint="eastAsia" w:ascii="宋体" w:hAnsi="宋体" w:eastAsia="宋体" w:cs="宋体"/>
          <w:sz w:val="28"/>
          <w:szCs w:val="28"/>
          <w:lang w:val="en-US" w:eastAsia="zh-CN"/>
        </w:rPr>
        <w:t>个台阶，台阶高度</w:t>
      </w:r>
      <w:r>
        <w:rPr>
          <w:rFonts w:hint="default" w:ascii="宋体" w:hAnsi="宋体" w:eastAsia="宋体" w:cs="宋体"/>
          <w:sz w:val="28"/>
          <w:szCs w:val="28"/>
          <w:lang w:val="en-US" w:eastAsia="zh-CN"/>
        </w:rPr>
        <w:t>4m</w:t>
      </w:r>
      <w:r>
        <w:rPr>
          <w:rFonts w:hint="eastAsia" w:ascii="宋体" w:hAnsi="宋体" w:eastAsia="宋体" w:cs="宋体"/>
          <w:sz w:val="28"/>
          <w:szCs w:val="28"/>
          <w:lang w:val="en-US" w:eastAsia="zh-CN"/>
        </w:rPr>
        <w:t>；设计最高开采水平</w:t>
      </w:r>
      <w:r>
        <w:rPr>
          <w:rFonts w:hint="default" w:ascii="宋体" w:hAnsi="宋体" w:eastAsia="宋体" w:cs="宋体"/>
          <w:sz w:val="28"/>
          <w:szCs w:val="28"/>
          <w:lang w:val="en-US" w:eastAsia="zh-CN"/>
        </w:rPr>
        <w:t>2896m</w:t>
      </w:r>
      <w:r>
        <w:rPr>
          <w:rFonts w:hint="eastAsia" w:ascii="宋体" w:hAnsi="宋体" w:eastAsia="宋体" w:cs="宋体"/>
          <w:sz w:val="28"/>
          <w:szCs w:val="28"/>
          <w:lang w:val="en-US" w:eastAsia="zh-CN"/>
        </w:rPr>
        <w:t>，最低开采水平</w:t>
      </w:r>
      <w:r>
        <w:rPr>
          <w:rFonts w:hint="default" w:ascii="宋体" w:hAnsi="宋体" w:eastAsia="宋体" w:cs="宋体"/>
          <w:sz w:val="28"/>
          <w:szCs w:val="28"/>
          <w:lang w:val="en-US" w:eastAsia="zh-CN"/>
        </w:rPr>
        <w:t>2868m</w:t>
      </w:r>
      <w:r>
        <w:rPr>
          <w:rFonts w:hint="eastAsia" w:ascii="宋体" w:hAnsi="宋体" w:eastAsia="宋体" w:cs="宋体"/>
          <w:sz w:val="28"/>
          <w:szCs w:val="28"/>
          <w:lang w:val="en-US" w:eastAsia="zh-CN"/>
        </w:rPr>
        <w:t>，采深</w:t>
      </w:r>
      <w:r>
        <w:rPr>
          <w:rFonts w:hint="default" w:ascii="宋体" w:hAnsi="宋体" w:eastAsia="宋体" w:cs="宋体"/>
          <w:sz w:val="28"/>
          <w:szCs w:val="28"/>
          <w:lang w:val="en-US" w:eastAsia="zh-CN"/>
        </w:rPr>
        <w:t>4m</w:t>
      </w:r>
      <w:r>
        <w:rPr>
          <w:rFonts w:hint="eastAsia" w:ascii="宋体" w:hAnsi="宋体" w:eastAsia="宋体" w:cs="宋体"/>
          <w:sz w:val="28"/>
          <w:szCs w:val="28"/>
          <w:lang w:val="en-US" w:eastAsia="zh-CN"/>
        </w:rPr>
        <w:t>。</w:t>
      </w:r>
    </w:p>
    <w:p w14:paraId="1EF9870F">
      <w:pPr>
        <w:widowControl w:val="0"/>
        <w:kinsoku/>
        <w:adjustRightInd/>
        <w:snapToGrid/>
        <w:spacing w:line="360" w:lineRule="auto"/>
        <w:ind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采场从北侧中部开沟按</w:t>
      </w:r>
      <w:r>
        <w:rPr>
          <w:rFonts w:hint="default" w:ascii="宋体" w:hAnsi="宋体" w:eastAsia="宋体" w:cs="宋体"/>
          <w:sz w:val="28"/>
          <w:szCs w:val="28"/>
          <w:lang w:val="en-US" w:eastAsia="zh-CN"/>
        </w:rPr>
        <w:t>4m</w:t>
      </w:r>
      <w:r>
        <w:rPr>
          <w:rFonts w:hint="eastAsia" w:ascii="宋体" w:hAnsi="宋体" w:eastAsia="宋体" w:cs="宋体"/>
          <w:sz w:val="28"/>
          <w:szCs w:val="28"/>
          <w:lang w:val="en-US" w:eastAsia="zh-CN"/>
        </w:rPr>
        <w:t>高台阶，向南西与北东方向按地形坡度</w:t>
      </w:r>
      <w:r>
        <w:rPr>
          <w:rFonts w:hint="default" w:ascii="宋体" w:hAnsi="宋体" w:eastAsia="宋体" w:cs="宋体"/>
          <w:sz w:val="28"/>
          <w:szCs w:val="28"/>
          <w:lang w:val="en-US" w:eastAsia="zh-CN"/>
        </w:rPr>
        <w:t>3°</w:t>
      </w:r>
      <w:r>
        <w:rPr>
          <w:rFonts w:hint="eastAsia" w:ascii="宋体" w:hAnsi="宋体" w:eastAsia="宋体" w:cs="宋体"/>
          <w:sz w:val="28"/>
          <w:szCs w:val="28"/>
          <w:lang w:val="en-US" w:eastAsia="zh-CN"/>
        </w:rPr>
        <w:t>挖采，最终在采场内形成</w:t>
      </w:r>
      <w:r>
        <w:rPr>
          <w:rFonts w:hint="default" w:ascii="宋体" w:hAnsi="宋体" w:eastAsia="宋体" w:cs="宋体"/>
          <w:sz w:val="28"/>
          <w:szCs w:val="28"/>
          <w:lang w:val="en-US" w:eastAsia="zh-CN"/>
        </w:rPr>
        <w:t>1</w:t>
      </w:r>
      <w:r>
        <w:rPr>
          <w:rFonts w:hint="eastAsia" w:ascii="宋体" w:hAnsi="宋体" w:eastAsia="宋体" w:cs="宋体"/>
          <w:sz w:val="28"/>
          <w:szCs w:val="28"/>
          <w:lang w:val="en-US" w:eastAsia="zh-CN"/>
        </w:rPr>
        <w:t>个台阶，最终形成边坡高</w:t>
      </w:r>
      <w:r>
        <w:rPr>
          <w:rFonts w:hint="default" w:ascii="宋体" w:hAnsi="宋体" w:eastAsia="宋体" w:cs="宋体"/>
          <w:sz w:val="28"/>
          <w:szCs w:val="28"/>
          <w:lang w:val="en-US" w:eastAsia="zh-CN"/>
        </w:rPr>
        <w:t>4m</w:t>
      </w:r>
      <w:r>
        <w:rPr>
          <w:rFonts w:hint="eastAsia" w:ascii="宋体" w:hAnsi="宋体" w:eastAsia="宋体" w:cs="宋体"/>
          <w:sz w:val="28"/>
          <w:szCs w:val="28"/>
          <w:lang w:val="en-US" w:eastAsia="zh-CN"/>
        </w:rPr>
        <w:t>凹陷倾斜采坑，采坑底部坡度为</w:t>
      </w:r>
      <w:r>
        <w:rPr>
          <w:rFonts w:hint="default" w:ascii="宋体" w:hAnsi="宋体" w:eastAsia="宋体" w:cs="宋体"/>
          <w:sz w:val="28"/>
          <w:szCs w:val="28"/>
          <w:lang w:val="en-US" w:eastAsia="zh-CN"/>
        </w:rPr>
        <w:t>3°</w:t>
      </w:r>
      <w:r>
        <w:rPr>
          <w:rFonts w:hint="eastAsia" w:ascii="宋体" w:hAnsi="宋体" w:eastAsia="宋体" w:cs="宋体"/>
          <w:sz w:val="28"/>
          <w:szCs w:val="28"/>
          <w:lang w:val="en-US" w:eastAsia="zh-CN"/>
        </w:rPr>
        <w:t>，南北宽</w:t>
      </w:r>
      <w:r>
        <w:rPr>
          <w:rFonts w:hint="default" w:ascii="宋体" w:hAnsi="宋体" w:eastAsia="宋体" w:cs="宋体"/>
          <w:sz w:val="28"/>
          <w:szCs w:val="28"/>
          <w:lang w:val="en-US" w:eastAsia="zh-CN"/>
        </w:rPr>
        <w:t>384m</w:t>
      </w:r>
      <w:r>
        <w:rPr>
          <w:rFonts w:hint="eastAsia" w:ascii="宋体" w:hAnsi="宋体" w:eastAsia="宋体" w:cs="宋体"/>
          <w:sz w:val="28"/>
          <w:szCs w:val="28"/>
          <w:lang w:val="en-US" w:eastAsia="zh-CN"/>
        </w:rPr>
        <w:t>，东西长</w:t>
      </w:r>
      <w:r>
        <w:rPr>
          <w:rFonts w:hint="default" w:ascii="宋体" w:hAnsi="宋体" w:eastAsia="宋体" w:cs="宋体"/>
          <w:sz w:val="28"/>
          <w:szCs w:val="28"/>
          <w:lang w:val="en-US" w:eastAsia="zh-CN"/>
        </w:rPr>
        <w:t>2484m</w:t>
      </w:r>
      <w:r>
        <w:rPr>
          <w:rFonts w:hint="eastAsia" w:ascii="宋体" w:hAnsi="宋体" w:eastAsia="宋体" w:cs="宋体"/>
          <w:sz w:val="28"/>
          <w:szCs w:val="28"/>
          <w:lang w:val="en-US" w:eastAsia="zh-CN"/>
        </w:rPr>
        <w:t>。</w:t>
      </w:r>
    </w:p>
    <w:p w14:paraId="4263DDEF">
      <w:pPr>
        <w:widowControl w:val="0"/>
        <w:kinsoku/>
        <w:adjustRightInd/>
        <w:snapToGrid/>
        <w:spacing w:line="36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4904105" cy="3677285"/>
            <wp:effectExtent l="0" t="0" r="10795" b="18415"/>
            <wp:docPr id="13" name="图片 13" descr="微信图片_20251224184951_54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51224184951_54_18"/>
                    <pic:cNvPicPr>
                      <a:picLocks noChangeAspect="1"/>
                    </pic:cNvPicPr>
                  </pic:nvPicPr>
                  <pic:blipFill>
                    <a:blip r:embed="rId18"/>
                    <a:stretch>
                      <a:fillRect/>
                    </a:stretch>
                  </pic:blipFill>
                  <pic:spPr>
                    <a:xfrm>
                      <a:off x="0" y="0"/>
                      <a:ext cx="4904105" cy="3677285"/>
                    </a:xfrm>
                    <a:prstGeom prst="rect">
                      <a:avLst/>
                    </a:prstGeom>
                  </pic:spPr>
                </pic:pic>
              </a:graphicData>
            </a:graphic>
          </wp:inline>
        </w:drawing>
      </w:r>
    </w:p>
    <w:p w14:paraId="035BFDD2">
      <w:pPr>
        <w:ind w:firstLine="422" w:firstLineChars="200"/>
        <w:jc w:val="center"/>
        <w:rPr>
          <w:rFonts w:hint="eastAsia" w:ascii="宋体" w:hAnsi="宋体" w:eastAsia="宋体" w:cs="宋体"/>
          <w:b/>
          <w:bCs/>
          <w:lang w:eastAsia="zh-CN"/>
        </w:rPr>
      </w:pPr>
      <w:r>
        <w:rPr>
          <w:rFonts w:hint="eastAsia" w:ascii="宋体" w:hAnsi="宋体" w:eastAsia="宋体" w:cs="宋体"/>
          <w:b/>
          <w:bCs/>
          <w:lang w:eastAsia="zh-CN"/>
        </w:rPr>
        <w:t>照片</w:t>
      </w:r>
      <w:r>
        <w:rPr>
          <w:rFonts w:hint="eastAsia" w:ascii="宋体" w:hAnsi="宋体" w:eastAsia="宋体" w:cs="宋体"/>
          <w:b/>
          <w:bCs/>
        </w:rPr>
        <w:t>1-</w:t>
      </w:r>
      <w:r>
        <w:rPr>
          <w:rFonts w:hint="eastAsia" w:ascii="宋体" w:hAnsi="宋体" w:eastAsia="宋体" w:cs="宋体"/>
          <w:b/>
          <w:bCs/>
          <w:lang w:val="en-US" w:eastAsia="zh-CN"/>
        </w:rPr>
        <w:t xml:space="preserve">3 </w:t>
      </w:r>
      <w:r>
        <w:rPr>
          <w:rFonts w:hint="eastAsia" w:ascii="宋体" w:hAnsi="宋体" w:eastAsia="宋体" w:cs="宋体"/>
          <w:b/>
          <w:bCs/>
        </w:rPr>
        <w:t xml:space="preserve"> </w:t>
      </w:r>
      <w:r>
        <w:rPr>
          <w:rFonts w:hint="eastAsia" w:ascii="宋体" w:hAnsi="宋体" w:eastAsia="宋体" w:cs="宋体"/>
          <w:b/>
          <w:bCs/>
          <w:lang w:eastAsia="zh-CN"/>
        </w:rPr>
        <w:t>采矿场地现状照</w:t>
      </w:r>
    </w:p>
    <w:p w14:paraId="69D36B44">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⑶</w:t>
      </w:r>
      <w:r>
        <w:rPr>
          <w:rFonts w:hint="eastAsia" w:ascii="宋体" w:hAnsi="宋体" w:eastAsia="宋体" w:cs="宋体"/>
          <w:sz w:val="28"/>
          <w:szCs w:val="28"/>
          <w:lang w:val="en-US" w:eastAsia="zh-CN"/>
        </w:rPr>
        <w:t>矿山道路（利旧）</w:t>
      </w:r>
    </w:p>
    <w:p w14:paraId="1AB3B9F8">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z w:val="28"/>
          <w:szCs w:val="28"/>
        </w:rPr>
      </w:pPr>
      <w:r>
        <w:rPr>
          <w:rFonts w:hint="eastAsia" w:ascii="宋体" w:hAnsi="宋体" w:eastAsia="宋体" w:cs="宋体"/>
          <w:sz w:val="28"/>
          <w:szCs w:val="28"/>
        </w:rPr>
        <w:t>矿山道路采用简易道路和运输道路相结合，简易道路负责设备、材料的运输，运输道路负责矿石的运输。</w:t>
      </w:r>
    </w:p>
    <w:p w14:paraId="0A6C4357">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z w:val="28"/>
          <w:szCs w:val="28"/>
        </w:rPr>
      </w:pPr>
      <w:r>
        <w:rPr>
          <w:rFonts w:hint="eastAsia" w:ascii="宋体" w:hAnsi="宋体" w:eastAsia="宋体" w:cs="宋体"/>
          <w:sz w:val="28"/>
          <w:szCs w:val="28"/>
        </w:rPr>
        <w:t>矿山简易道路仅供采掘机械设备运行，长约1000m，路基宽6.0m，路面宽4.5m，道路最小转弯半径为8m，平均纵坡15%，最大纵坡21%，采矿活动结束后，简易道路自然消失；矿山矿石运输道路为外部道路至工业场地及生活区，长约406m，路基宽6.0m，路面宽4.5m，最小转弯半径为80m，无坡度，运输道路占地面积为0.24hm</w:t>
      </w:r>
      <w:r>
        <w:rPr>
          <w:rFonts w:hint="eastAsia" w:ascii="宋体" w:hAnsi="宋体" w:eastAsia="宋体" w:cs="宋体"/>
          <w:sz w:val="28"/>
          <w:szCs w:val="28"/>
          <w:vertAlign w:val="superscript"/>
        </w:rPr>
        <w:t>2</w:t>
      </w:r>
      <w:r>
        <w:rPr>
          <w:rFonts w:hint="eastAsia" w:ascii="宋体" w:hAnsi="宋体" w:eastAsia="宋体" w:cs="宋体"/>
          <w:sz w:val="28"/>
          <w:szCs w:val="28"/>
        </w:rPr>
        <w:t>。</w:t>
      </w:r>
    </w:p>
    <w:p w14:paraId="3041F1A0">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p>
    <w:p w14:paraId="7F72809C">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br w:type="page"/>
      </w:r>
    </w:p>
    <w:p w14:paraId="14F662F6">
      <w:pPr>
        <w:pStyle w:val="2"/>
        <w:keepNext w:val="0"/>
        <w:keepLines w:val="0"/>
        <w:widowControl w:val="0"/>
        <w:kinsoku/>
        <w:spacing w:before="0" w:after="0" w:line="360" w:lineRule="auto"/>
        <w:jc w:val="center"/>
        <w:rPr>
          <w:rFonts w:hint="eastAsia" w:ascii="黑体" w:hAnsi="黑体" w:eastAsia="黑体" w:cs="黑体"/>
          <w:b w:val="0"/>
          <w:bCs/>
          <w:sz w:val="32"/>
          <w:szCs w:val="32"/>
          <w:lang w:eastAsia="zh-CN"/>
        </w:rPr>
      </w:pPr>
      <w:bookmarkStart w:id="24" w:name="_Toc30831"/>
      <w:r>
        <w:rPr>
          <w:rFonts w:hint="eastAsia" w:ascii="黑体" w:hAnsi="黑体" w:eastAsia="黑体" w:cs="黑体"/>
          <w:b w:val="0"/>
          <w:bCs/>
          <w:sz w:val="32"/>
          <w:szCs w:val="32"/>
          <w:lang w:eastAsia="zh-CN"/>
        </w:rPr>
        <w:t>第二章  矿区基础信息</w:t>
      </w:r>
      <w:bookmarkEnd w:id="24"/>
    </w:p>
    <w:p w14:paraId="4B3F3CAD">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25" w:name="bookmark246"/>
      <w:bookmarkEnd w:id="25"/>
      <w:bookmarkStart w:id="26" w:name="_Toc729"/>
      <w:r>
        <w:rPr>
          <w:rFonts w:hint="eastAsia" w:ascii="宋体" w:hAnsi="宋体" w:eastAsia="宋体" w:cs="宋体"/>
          <w:sz w:val="30"/>
          <w:szCs w:val="30"/>
          <w:lang w:eastAsia="zh-CN"/>
        </w:rPr>
        <w:t>一、矿区自然条件</w:t>
      </w:r>
      <w:bookmarkEnd w:id="26"/>
    </w:p>
    <w:p w14:paraId="5407935C">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7" w:name="bookmark247"/>
      <w:bookmarkEnd w:id="27"/>
      <w:bookmarkStart w:id="28" w:name="_Toc28366"/>
      <w:r>
        <w:rPr>
          <w:rFonts w:hint="eastAsia" w:ascii="宋体" w:hAnsi="宋体" w:eastAsia="宋体" w:cs="宋体"/>
          <w:sz w:val="28"/>
          <w:szCs w:val="28"/>
          <w:lang w:eastAsia="zh-CN"/>
        </w:rPr>
        <w:t>（一）气象</w:t>
      </w:r>
      <w:bookmarkEnd w:id="28"/>
    </w:p>
    <w:p w14:paraId="2F3487ED">
      <w:pPr>
        <w:keepNext w:val="0"/>
        <w:keepLines w:val="0"/>
        <w:pageBreakBefore w:val="0"/>
        <w:widowControl w:val="0"/>
        <w:kinsoku/>
        <w:wordWrap/>
        <w:overflowPunct w:val="0"/>
        <w:topLinePunct w:val="0"/>
        <w:autoSpaceDE/>
        <w:autoSpaceDN/>
        <w:bidi w:val="0"/>
        <w:adjustRightInd/>
        <w:snapToGrid/>
        <w:spacing w:line="360" w:lineRule="auto"/>
        <w:ind w:firstLine="560" w:firstLineChars="200"/>
        <w:jc w:val="both"/>
        <w:textAlignment w:val="baseline"/>
        <w:rPr>
          <w:rFonts w:hint="eastAsia" w:ascii="宋体" w:hAnsi="宋体" w:eastAsia="宋体" w:cs="宋体"/>
          <w:sz w:val="28"/>
          <w:szCs w:val="28"/>
          <w:lang w:val="en-US" w:eastAsia="zh-CN"/>
        </w:rPr>
      </w:pPr>
      <w:bookmarkStart w:id="29" w:name="_Toc130"/>
      <w:r>
        <w:rPr>
          <w:rFonts w:hint="eastAsia" w:ascii="宋体" w:hAnsi="宋体" w:eastAsia="宋体" w:cs="宋体"/>
          <w:sz w:val="28"/>
          <w:szCs w:val="28"/>
          <w:lang w:val="en-US" w:eastAsia="zh-CN"/>
        </w:rPr>
        <w:t>矿区地处格尔木市南侧的空旷戈壁砾石带，深居内陆，远离海洋，属典型的大陆性高原气候。具有干燥气压低、日温差大、日照时间长、太阳辐射强、降水量小、蒸发量大、风沙大等特点。年平均温度为4.2℃，年平均最高温度为9.1℃，年平均最低温度为-6℃，年最冷月份平均温度（1月）为-10.7℃，年最热月份平均温度（7～8月）为17.2℃，极端最高温度为34.6℃，极端最低温度为-26.5℃。年平均气压为695.4mba，年平均最高气压（10月）为698.9mba，年平均最低气压（2月）为690.0mba，平均风速为2.4m/s，最大风速为25.7m/s，主导风向为东北风。年平均沙尘暴天数为13天，年平均降雨量为44.9mm，年降雨量最大值为96.3mm，年降雨量最小值为12.1mm，降雨量大于等于0.1mm天数为27.8天，降雨量大于等于5mm天数为1.8天，最长连续降雨天数为14天，年蒸发量为2795.3mm。最大冻土深度为229cm，秋季冻结日期为9月末，春季解冻日期为5月份，最大积雪深度为30mm；最热月湿度（7月）为39%，最冷月湿度（1～2月）为34%，年平均相对湿度为29.6%，年日照小时数为3137.7h。季节性冻土深度为1.05m。</w:t>
      </w:r>
    </w:p>
    <w:p w14:paraId="29AB6ADD">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（二）水文</w:t>
      </w:r>
      <w:bookmarkEnd w:id="29"/>
    </w:p>
    <w:p w14:paraId="749BB662">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z w:val="28"/>
          <w:szCs w:val="28"/>
          <w:lang w:val="en-US" w:eastAsia="zh-CN"/>
        </w:rPr>
      </w:pPr>
      <w:bookmarkStart w:id="30" w:name="_Toc9498"/>
      <w:r>
        <w:rPr>
          <w:rFonts w:hint="eastAsia" w:ascii="宋体" w:hAnsi="宋体" w:eastAsia="宋体" w:cs="宋体"/>
          <w:sz w:val="28"/>
          <w:szCs w:val="28"/>
          <w:lang w:val="en-US" w:eastAsia="zh-CN"/>
        </w:rPr>
        <w:t>矿区周围无常年地表水流分布，距矿区最近的常年性河流为格尔木河。</w:t>
      </w:r>
    </w:p>
    <w:p w14:paraId="21C4B538">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格尔木河属柴达木盆地内陆水系，发源于昆仑山北坡，由西支昆仑河、东支雪水河、南支清水河汇合而成，往北流经市区后注入达布逊湖，全长468km。据格尔木水文站资料，流域面积18648km</w:t>
      </w:r>
      <w:r>
        <w:rPr>
          <w:rFonts w:hint="eastAsia" w:ascii="宋体" w:hAnsi="宋体" w:eastAsia="宋体" w:cs="宋体"/>
          <w:sz w:val="28"/>
          <w:szCs w:val="28"/>
          <w:vertAlign w:val="superscript"/>
          <w:lang w:val="en-US" w:eastAsia="zh-CN"/>
        </w:rPr>
        <w:t>2</w:t>
      </w:r>
      <w:r>
        <w:rPr>
          <w:rFonts w:hint="eastAsia" w:ascii="宋体" w:hAnsi="宋体" w:eastAsia="宋体" w:cs="宋体"/>
          <w:sz w:val="28"/>
          <w:szCs w:val="28"/>
          <w:lang w:val="en-US" w:eastAsia="zh-CN"/>
        </w:rPr>
        <w:t>，多年平均流量25.10m</w:t>
      </w:r>
      <w:r>
        <w:rPr>
          <w:rFonts w:hint="eastAsia" w:ascii="宋体" w:hAnsi="宋体" w:eastAsia="宋体" w:cs="宋体"/>
          <w:sz w:val="28"/>
          <w:szCs w:val="28"/>
          <w:vertAlign w:val="superscript"/>
          <w:lang w:val="en-US" w:eastAsia="zh-CN"/>
        </w:rPr>
        <w:t>3</w:t>
      </w:r>
      <w:r>
        <w:rPr>
          <w:rFonts w:hint="eastAsia" w:ascii="宋体" w:hAnsi="宋体" w:eastAsia="宋体" w:cs="宋体"/>
          <w:sz w:val="28"/>
          <w:szCs w:val="28"/>
          <w:lang w:val="en-US" w:eastAsia="zh-CN"/>
        </w:rPr>
        <w:t>/s，最大洪峰流量为646.0m</w:t>
      </w:r>
      <w:r>
        <w:rPr>
          <w:rFonts w:hint="eastAsia" w:ascii="宋体" w:hAnsi="宋体" w:eastAsia="宋体" w:cs="宋体"/>
          <w:sz w:val="28"/>
          <w:szCs w:val="28"/>
          <w:vertAlign w:val="superscript"/>
          <w:lang w:val="en-US" w:eastAsia="zh-CN"/>
        </w:rPr>
        <w:t>3</w:t>
      </w:r>
      <w:r>
        <w:rPr>
          <w:rFonts w:hint="eastAsia" w:ascii="宋体" w:hAnsi="宋体" w:eastAsia="宋体" w:cs="宋体"/>
          <w:sz w:val="28"/>
          <w:szCs w:val="28"/>
          <w:lang w:val="en-US" w:eastAsia="zh-CN"/>
        </w:rPr>
        <w:t>/s（1989年7月22日），最小流量为7.35m</w:t>
      </w:r>
      <w:r>
        <w:rPr>
          <w:rFonts w:hint="eastAsia" w:ascii="宋体" w:hAnsi="宋体" w:eastAsia="宋体" w:cs="宋体"/>
          <w:sz w:val="28"/>
          <w:szCs w:val="28"/>
          <w:vertAlign w:val="superscript"/>
          <w:lang w:val="en-US" w:eastAsia="zh-CN"/>
        </w:rPr>
        <w:t>3</w:t>
      </w:r>
      <w:r>
        <w:rPr>
          <w:rFonts w:hint="eastAsia" w:ascii="宋体" w:hAnsi="宋体" w:eastAsia="宋体" w:cs="宋体"/>
          <w:sz w:val="28"/>
          <w:szCs w:val="28"/>
          <w:lang w:val="en-US" w:eastAsia="zh-CN"/>
        </w:rPr>
        <w:t>/s（1973年12月29日），月平均最大流量为163.0m</w:t>
      </w:r>
      <w:r>
        <w:rPr>
          <w:rFonts w:hint="eastAsia" w:ascii="宋体" w:hAnsi="宋体" w:eastAsia="宋体" w:cs="宋体"/>
          <w:sz w:val="28"/>
          <w:szCs w:val="28"/>
          <w:vertAlign w:val="superscript"/>
          <w:lang w:val="en-US" w:eastAsia="zh-CN"/>
        </w:rPr>
        <w:t>3</w:t>
      </w:r>
      <w:r>
        <w:rPr>
          <w:rFonts w:hint="eastAsia" w:ascii="宋体" w:hAnsi="宋体" w:eastAsia="宋体" w:cs="宋体"/>
          <w:sz w:val="28"/>
          <w:szCs w:val="28"/>
          <w:lang w:val="en-US" w:eastAsia="zh-CN"/>
        </w:rPr>
        <w:t>/s（1989年7月），月平均最小流量为10.1m</w:t>
      </w:r>
      <w:r>
        <w:rPr>
          <w:rFonts w:hint="eastAsia" w:ascii="宋体" w:hAnsi="宋体" w:eastAsia="宋体" w:cs="宋体"/>
          <w:sz w:val="28"/>
          <w:szCs w:val="28"/>
          <w:vertAlign w:val="superscript"/>
          <w:lang w:val="en-US" w:eastAsia="zh-CN"/>
        </w:rPr>
        <w:t>3</w:t>
      </w:r>
      <w:r>
        <w:rPr>
          <w:rFonts w:hint="eastAsia" w:ascii="宋体" w:hAnsi="宋体" w:eastAsia="宋体" w:cs="宋体"/>
          <w:sz w:val="28"/>
          <w:szCs w:val="28"/>
          <w:lang w:val="en-US" w:eastAsia="zh-CN"/>
        </w:rPr>
        <w:t>/s（1963年1月）。每年7-9月汛期平均流量为37.89m</w:t>
      </w:r>
      <w:r>
        <w:rPr>
          <w:rFonts w:hint="eastAsia" w:ascii="宋体" w:hAnsi="宋体" w:eastAsia="宋体" w:cs="宋体"/>
          <w:sz w:val="28"/>
          <w:szCs w:val="28"/>
          <w:vertAlign w:val="superscript"/>
          <w:lang w:val="en-US" w:eastAsia="zh-CN"/>
        </w:rPr>
        <w:t>3</w:t>
      </w:r>
      <w:r>
        <w:rPr>
          <w:rFonts w:hint="eastAsia" w:ascii="宋体" w:hAnsi="宋体" w:eastAsia="宋体" w:cs="宋体"/>
          <w:sz w:val="28"/>
          <w:szCs w:val="28"/>
          <w:lang w:val="en-US" w:eastAsia="zh-CN"/>
        </w:rPr>
        <w:t>/s，占年径流量的38.1%。四季径流量分配如下：春（3-5月）占23.72%，夏（6-8月）占37.13%，秋（9-11月）占24.44%，冬（12-2月）占14.71%。</w:t>
      </w:r>
    </w:p>
    <w:p w14:paraId="27505C1A">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（三）地形地貌</w:t>
      </w:r>
      <w:bookmarkEnd w:id="30"/>
    </w:p>
    <w:p w14:paraId="708A2A59">
      <w:pPr>
        <w:keepNext w:val="0"/>
        <w:keepLines w:val="0"/>
        <w:pageBreakBefore w:val="0"/>
        <w:widowControl w:val="0"/>
        <w:kinsoku/>
        <w:wordWrap/>
        <w:overflowPunct w:val="0"/>
        <w:topLinePunct w:val="0"/>
        <w:autoSpaceDE/>
        <w:autoSpaceDN/>
        <w:bidi w:val="0"/>
        <w:adjustRightInd/>
        <w:snapToGrid/>
        <w:spacing w:line="360" w:lineRule="auto"/>
        <w:ind w:firstLine="600" w:firstLineChars="200"/>
        <w:jc w:val="both"/>
        <w:textAlignment w:val="baseline"/>
        <w:rPr>
          <w:rFonts w:hint="eastAsia" w:ascii="宋体" w:hAnsi="宋体" w:eastAsia="宋体" w:cs="宋体"/>
          <w:sz w:val="30"/>
          <w:szCs w:val="30"/>
          <w:lang w:val="en-US" w:eastAsia="zh-CN"/>
        </w:rPr>
      </w:pPr>
      <w:bookmarkStart w:id="31" w:name="_Toc23269"/>
      <w:r>
        <w:rPr>
          <w:rFonts w:hint="eastAsia" w:ascii="宋体" w:hAnsi="宋体" w:eastAsia="宋体" w:cs="宋体"/>
          <w:sz w:val="30"/>
          <w:szCs w:val="30"/>
          <w:lang w:val="en-US" w:eastAsia="zh-CN"/>
        </w:rPr>
        <w:t>矿区位于格尔木河冲洪积扇的中下游地段，地貌类型为山前冲洪积平原,主要由冲、洪积扇裙构成；海拔高度2869-2895米，最大相对高差26m。地形开阔平坦，总体地势南高北低，地面坡度6‰～10‰；地表无植被覆盖，砂砾遍布，主要以风蚀为主。</w:t>
      </w:r>
    </w:p>
    <w:p w14:paraId="40609A27">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（四）植被</w:t>
      </w:r>
      <w:bookmarkEnd w:id="31"/>
    </w:p>
    <w:p w14:paraId="5506994B">
      <w:pPr>
        <w:keepNext w:val="0"/>
        <w:keepLines w:val="0"/>
        <w:pageBreakBefore w:val="0"/>
        <w:widowControl w:val="0"/>
        <w:kinsoku/>
        <w:wordWrap/>
        <w:overflowPunct w:val="0"/>
        <w:topLinePunct w:val="0"/>
        <w:autoSpaceDE/>
        <w:autoSpaceDN/>
        <w:bidi w:val="0"/>
        <w:adjustRightInd/>
        <w:snapToGrid/>
        <w:spacing w:line="360" w:lineRule="auto"/>
        <w:ind w:firstLine="600" w:firstLineChars="200"/>
        <w:jc w:val="both"/>
        <w:textAlignment w:val="baseline"/>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由于矿区所处地区干旱缺水，地表土壤肥力低下，矿区无植被生长。（照片2-1）。</w:t>
      </w:r>
    </w:p>
    <w:p w14:paraId="7933A4E4">
      <w:pPr>
        <w:jc w:val="center"/>
        <w:rPr>
          <w:szCs w:val="24"/>
        </w:rPr>
      </w:pPr>
      <w:r>
        <w:rPr>
          <w:rFonts w:hint="eastAsia" w:eastAsia="宋体"/>
          <w:sz w:val="24"/>
          <w:lang w:eastAsia="zh-CN"/>
        </w:rPr>
        <w:drawing>
          <wp:inline distT="0" distB="0" distL="114300" distR="114300">
            <wp:extent cx="5074285" cy="2853055"/>
            <wp:effectExtent l="0" t="0" r="12065" b="4445"/>
            <wp:docPr id="9" name="图片 3" descr="C:/Users/Administrator.PC-20220716MJGZ/Desktop/青海省格尔木市茶格高速南建筑用砂2#矿生态修复方案/微信图片_20251224184950_51_18.jpg微信图片_20251224184950_51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C:/Users/Administrator.PC-20220716MJGZ/Desktop/青海省格尔木市茶格高速南建筑用砂2#矿生态修复方案/微信图片_20251224184950_51_18.jpg微信图片_20251224184950_51_18"/>
                    <pic:cNvPicPr>
                      <a:picLocks noChangeAspect="1"/>
                    </pic:cNvPicPr>
                  </pic:nvPicPr>
                  <pic:blipFill>
                    <a:blip r:embed="rId19"/>
                    <a:srcRect t="12508" b="12508"/>
                    <a:stretch>
                      <a:fillRect/>
                    </a:stretch>
                  </pic:blipFill>
                  <pic:spPr>
                    <a:xfrm>
                      <a:off x="0" y="0"/>
                      <a:ext cx="5074285" cy="2853055"/>
                    </a:xfrm>
                    <a:prstGeom prst="rect">
                      <a:avLst/>
                    </a:prstGeom>
                    <a:noFill/>
                    <a:ln>
                      <a:noFill/>
                    </a:ln>
                  </pic:spPr>
                </pic:pic>
              </a:graphicData>
            </a:graphic>
          </wp:inline>
        </w:drawing>
      </w:r>
    </w:p>
    <w:p w14:paraId="4D49A614">
      <w:pPr>
        <w:jc w:val="center"/>
        <w:rPr>
          <w:rFonts w:hint="eastAsia" w:ascii="宋体" w:hAnsi="宋体" w:eastAsia="宋体" w:cs="宋体"/>
          <w:b/>
          <w:bCs/>
          <w:szCs w:val="24"/>
          <w:lang w:eastAsia="zh-CN"/>
        </w:rPr>
      </w:pPr>
      <w:r>
        <w:rPr>
          <w:rFonts w:hint="eastAsia" w:ascii="宋体" w:hAnsi="宋体" w:eastAsia="宋体" w:cs="宋体"/>
          <w:b/>
          <w:bCs/>
          <w:szCs w:val="24"/>
          <w:lang w:eastAsia="zh-CN"/>
        </w:rPr>
        <w:t>照片2-1</w:t>
      </w:r>
      <w:r>
        <w:rPr>
          <w:rFonts w:hint="eastAsia" w:ascii="宋体" w:hAnsi="宋体" w:eastAsia="宋体" w:cs="宋体"/>
          <w:b/>
          <w:bCs/>
          <w:szCs w:val="24"/>
          <w:lang w:val="en-US" w:eastAsia="zh-CN"/>
        </w:rPr>
        <w:t xml:space="preserve"> </w:t>
      </w:r>
      <w:r>
        <w:rPr>
          <w:rFonts w:hint="eastAsia" w:ascii="宋体" w:hAnsi="宋体" w:eastAsia="宋体" w:cs="宋体"/>
          <w:b/>
          <w:bCs/>
          <w:szCs w:val="24"/>
          <w:lang w:eastAsia="zh-CN"/>
        </w:rPr>
        <w:t xml:space="preserve"> 矿区现状</w:t>
      </w:r>
    </w:p>
    <w:p w14:paraId="1D7532CC">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32" w:name="_Toc31932"/>
      <w:r>
        <w:rPr>
          <w:rFonts w:hint="eastAsia" w:ascii="宋体" w:hAnsi="宋体" w:eastAsia="宋体" w:cs="宋体"/>
          <w:sz w:val="28"/>
          <w:szCs w:val="28"/>
          <w:lang w:eastAsia="zh-CN"/>
        </w:rPr>
        <w:t>（五）土壤</w:t>
      </w:r>
      <w:bookmarkEnd w:id="32"/>
    </w:p>
    <w:p w14:paraId="342A744F">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地表土壤形成于干燥剥蚀条件下，土体干燥，表层细土物质多受风力作用搬运，土层浅薄，有机质积累少，成壤作用微弱，表层有机质仅有0.26-0.82%。（照片2-2）。</w:t>
      </w:r>
    </w:p>
    <w:p w14:paraId="5BBCB704">
      <w:pPr>
        <w:jc w:val="center"/>
        <w:rPr>
          <w:szCs w:val="24"/>
        </w:rPr>
      </w:pPr>
      <w:r>
        <w:drawing>
          <wp:inline distT="0" distB="0" distL="0" distR="0">
            <wp:extent cx="5151755" cy="2729230"/>
            <wp:effectExtent l="0" t="0" r="10795" b="13970"/>
            <wp:docPr id="6" name="图片 6" descr="C:/Users/Administrator.PC-20220716MJGZ/Desktop/青海省格尔木市茶格高速南建筑用砂2#矿生态修复方案/微信图片_20251224184952_59_18.jpg微信图片_20251224184952_59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PC-20220716MJGZ/Desktop/青海省格尔木市茶格高速南建筑用砂2#矿生态修复方案/微信图片_20251224184952_59_18.jpg微信图片_20251224184952_59_18"/>
                    <pic:cNvPicPr>
                      <a:picLocks noChangeAspect="1"/>
                    </pic:cNvPicPr>
                  </pic:nvPicPr>
                  <pic:blipFill>
                    <a:blip r:embed="rId20"/>
                    <a:srcRect t="14682" b="14682"/>
                    <a:stretch>
                      <a:fillRect/>
                    </a:stretch>
                  </pic:blipFill>
                  <pic:spPr>
                    <a:xfrm>
                      <a:off x="0" y="0"/>
                      <a:ext cx="5151755" cy="2729230"/>
                    </a:xfrm>
                    <a:prstGeom prst="rect">
                      <a:avLst/>
                    </a:prstGeom>
                    <a:ln>
                      <a:noFill/>
                    </a:ln>
                  </pic:spPr>
                </pic:pic>
              </a:graphicData>
            </a:graphic>
          </wp:inline>
        </w:drawing>
      </w:r>
    </w:p>
    <w:p w14:paraId="71C5F6C2">
      <w:pPr>
        <w:jc w:val="center"/>
        <w:rPr>
          <w:rFonts w:hint="eastAsia" w:ascii="宋体" w:hAnsi="宋体" w:eastAsia="宋体" w:cs="宋体"/>
          <w:b/>
          <w:bCs/>
          <w:szCs w:val="24"/>
          <w:lang w:eastAsia="zh-CN"/>
        </w:rPr>
      </w:pPr>
      <w:r>
        <w:rPr>
          <w:rFonts w:hint="eastAsia" w:ascii="宋体" w:hAnsi="宋体" w:eastAsia="宋体" w:cs="宋体"/>
          <w:b/>
          <w:bCs/>
          <w:szCs w:val="24"/>
          <w:lang w:eastAsia="zh-CN"/>
        </w:rPr>
        <w:t>照片2-2  矿区土壤</w:t>
      </w:r>
    </w:p>
    <w:p w14:paraId="5298564E">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33" w:name="_Toc960"/>
      <w:r>
        <w:rPr>
          <w:rFonts w:hint="eastAsia" w:ascii="宋体" w:hAnsi="宋体" w:eastAsia="宋体" w:cs="宋体"/>
          <w:sz w:val="30"/>
          <w:szCs w:val="30"/>
          <w:lang w:eastAsia="zh-CN"/>
        </w:rPr>
        <w:t>二、社会经济概况</w:t>
      </w:r>
      <w:bookmarkEnd w:id="33"/>
    </w:p>
    <w:p w14:paraId="4EC77C01">
      <w:pPr>
        <w:keepNext w:val="0"/>
        <w:keepLines w:val="0"/>
        <w:pageBreakBefore w:val="0"/>
        <w:widowControl/>
        <w:kinsoku/>
        <w:wordWrap w:val="0"/>
        <w:overflowPunct/>
        <w:topLinePunct/>
        <w:autoSpaceDE/>
        <w:autoSpaceDN/>
        <w:bidi w:val="0"/>
        <w:adjustRightInd/>
        <w:snapToGrid/>
        <w:spacing w:line="360" w:lineRule="auto"/>
        <w:ind w:left="0" w:right="0" w:firstLine="572"/>
        <w:jc w:val="both"/>
        <w:textAlignment w:val="auto"/>
        <w:rPr>
          <w:rFonts w:hint="eastAsia" w:ascii="宋体" w:hAnsi="宋体" w:eastAsia="宋体" w:cs="宋体"/>
          <w:spacing w:val="-2"/>
          <w:sz w:val="28"/>
          <w:szCs w:val="28"/>
          <w:lang w:val="en-US" w:eastAsia="en-US"/>
        </w:rPr>
      </w:pPr>
      <w:bookmarkStart w:id="34" w:name="_Toc18059"/>
      <w:r>
        <w:rPr>
          <w:rFonts w:hint="eastAsia" w:ascii="宋体" w:hAnsi="宋体" w:eastAsia="宋体" w:cs="宋体"/>
          <w:spacing w:val="-2"/>
          <w:sz w:val="28"/>
          <w:szCs w:val="28"/>
          <w:lang w:val="en-US" w:eastAsia="en-US"/>
        </w:rPr>
        <w:t>格尔木市隶属于青海省海西蒙古族藏族自治州。地处青海省中西部</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val="en-US" w:eastAsia="en-US"/>
        </w:rPr>
        <w:t>青藏高原腹地，境内辖区地形复杂，大体可分为盆地高原和唐古拉山北麓两部分，属典型的高原大陆性气候</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val="en-US" w:eastAsia="en-US"/>
        </w:rPr>
        <w:t>总面积118954.18km</w:t>
      </w:r>
      <w:r>
        <w:rPr>
          <w:rFonts w:hint="eastAsia" w:ascii="宋体" w:hAnsi="宋体" w:eastAsia="宋体" w:cs="宋体"/>
          <w:spacing w:val="-2"/>
          <w:sz w:val="28"/>
          <w:szCs w:val="28"/>
          <w:vertAlign w:val="superscript"/>
          <w:lang w:val="en-US" w:eastAsia="en-US"/>
        </w:rPr>
        <w:t>2</w:t>
      </w:r>
      <w:r>
        <w:rPr>
          <w:rFonts w:hint="eastAsia" w:ascii="宋体" w:hAnsi="宋体" w:eastAsia="宋体" w:cs="宋体"/>
          <w:spacing w:val="-2"/>
          <w:sz w:val="28"/>
          <w:szCs w:val="28"/>
          <w:lang w:val="en-US" w:eastAsia="en-US"/>
        </w:rPr>
        <w:t>,有汉、蒙古、藏、回等26个民族，其中城市人口占90%以上；根据第七次全国人口普查数据显示，格尔木市的常住人口为221863人。其中男性人口占比54.7%,女性人口占比45.3%。在年龄结构中，0-14岁的人口占比为20.11%,15-59岁的人口占比为73.77%,60岁以上的人口占比为6.12%,65岁以上的人口占比为3.97%。境内广泛分布着钾、钠、镁、锂、硼、锶、石油、天然气、黄金、铁、铅、锌、铜、镍、钴、宝玉石等50余种矿产资源，有30多种位居全国前10位，其中钾、钠、镁、锂总储量占全国第一位。近年来格尔木市农牧业兴起，种植青稞、小麦、油菜、马铃薯及蔬菜等，但不能满足当地需要，生产、生活物质均需从外地运入。</w:t>
      </w:r>
    </w:p>
    <w:p w14:paraId="2445416C">
      <w:pPr>
        <w:keepNext w:val="0"/>
        <w:keepLines w:val="0"/>
        <w:pageBreakBefore w:val="0"/>
        <w:widowControl/>
        <w:kinsoku/>
        <w:wordWrap/>
        <w:overflowPunct w:val="0"/>
        <w:topLinePunct w:val="0"/>
        <w:autoSpaceDE/>
        <w:autoSpaceDN/>
        <w:bidi w:val="0"/>
        <w:adjustRightInd/>
        <w:snapToGrid/>
        <w:spacing w:line="360" w:lineRule="auto"/>
        <w:ind w:left="0" w:right="0" w:firstLine="572"/>
        <w:jc w:val="both"/>
        <w:textAlignment w:val="auto"/>
        <w:rPr>
          <w:rFonts w:hint="eastAsia" w:ascii="宋体" w:hAnsi="宋体" w:eastAsia="宋体" w:cs="宋体"/>
          <w:spacing w:val="-2"/>
          <w:sz w:val="28"/>
          <w:szCs w:val="28"/>
          <w:lang w:val="en-US" w:eastAsia="en-US"/>
        </w:rPr>
      </w:pPr>
      <w:r>
        <w:rPr>
          <w:rFonts w:hint="eastAsia" w:ascii="宋体" w:hAnsi="宋体" w:cs="宋体"/>
          <w:sz w:val="28"/>
          <w:szCs w:val="28"/>
          <w:lang w:eastAsia="zh-CN"/>
        </w:rPr>
        <w:t>矿区位于青海省格尔木市南侧，隶属格尔木市管辖</w:t>
      </w:r>
      <w:r>
        <w:rPr>
          <w:rFonts w:hint="eastAsia" w:ascii="宋体" w:hAnsi="宋体" w:eastAsia="宋体" w:cs="宋体"/>
          <w:spacing w:val="-2"/>
          <w:sz w:val="28"/>
          <w:szCs w:val="28"/>
          <w:lang w:val="en-US" w:eastAsia="en-US"/>
        </w:rPr>
        <w:t>，矿区周围无固定居民点，无电，无牧业活动，主要生活生产物资由格尔木市供给。</w:t>
      </w:r>
    </w:p>
    <w:p w14:paraId="77F18183">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r>
        <w:rPr>
          <w:rFonts w:hint="eastAsia" w:ascii="宋体" w:hAnsi="宋体" w:eastAsia="宋体" w:cs="宋体"/>
          <w:sz w:val="30"/>
          <w:szCs w:val="30"/>
          <w:lang w:eastAsia="zh-CN"/>
        </w:rPr>
        <w:t>三、矿区地质环境背景</w:t>
      </w:r>
      <w:bookmarkEnd w:id="34"/>
    </w:p>
    <w:p w14:paraId="07027D13">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35" w:name="_Toc24152"/>
      <w:r>
        <w:rPr>
          <w:rFonts w:hint="eastAsia" w:ascii="宋体" w:hAnsi="宋体" w:eastAsia="宋体" w:cs="宋体"/>
          <w:sz w:val="28"/>
          <w:szCs w:val="28"/>
          <w:lang w:eastAsia="zh-CN"/>
        </w:rPr>
        <w:t>（一）地层岩性</w:t>
      </w:r>
      <w:bookmarkEnd w:id="35"/>
    </w:p>
    <w:p w14:paraId="1CDFC0A8">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bookmarkStart w:id="36" w:name="_Toc32600"/>
      <w:r>
        <w:rPr>
          <w:rFonts w:hint="eastAsia" w:ascii="宋体" w:hAnsi="宋体" w:eastAsia="宋体" w:cs="宋体"/>
          <w:sz w:val="28"/>
          <w:szCs w:val="28"/>
          <w:lang w:eastAsia="zh-CN"/>
        </w:rPr>
        <w:t>矿点内出露地层为第四系上更新统洪积物,分布于茶格高速南。主要为卵石层，局部夹土黄色-灰色粉砂、细砂层，其粒度由上至下逐渐变粗（地表上覆一层30cm左右厚的风积砂），卵石成分复杂，主要为片麻岩、花岗岩等，呈次圆-次棱角状，分选性较好，厚度大于10m（见照片</w:t>
      </w: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1）。</w:t>
      </w:r>
    </w:p>
    <w:p w14:paraId="2BA281C6">
      <w:pPr>
        <w:widowControl w:val="0"/>
        <w:kinsoku/>
        <w:adjustRightInd/>
        <w:snapToGrid/>
        <w:spacing w:line="360" w:lineRule="auto"/>
        <w:jc w:val="center"/>
        <w:rPr>
          <w:rFonts w:ascii="宋体"/>
          <w:color w:val="0000FF"/>
          <w:kern w:val="2"/>
        </w:rPr>
      </w:pPr>
      <w:r>
        <w:rPr>
          <w:rFonts w:ascii="宋体"/>
          <w:color w:val="0000FF"/>
          <w:kern w:val="2"/>
        </w:rPr>
        <w:drawing>
          <wp:inline distT="0" distB="0" distL="0" distR="0">
            <wp:extent cx="5090795" cy="3853815"/>
            <wp:effectExtent l="0" t="0" r="14605" b="13335"/>
            <wp:docPr id="5" name="图片 5" descr="路边探坑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路边探坑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5090795" cy="3853815"/>
                    </a:xfrm>
                    <a:prstGeom prst="rect">
                      <a:avLst/>
                    </a:prstGeom>
                    <a:noFill/>
                    <a:ln>
                      <a:noFill/>
                    </a:ln>
                  </pic:spPr>
                </pic:pic>
              </a:graphicData>
            </a:graphic>
          </wp:inline>
        </w:drawing>
      </w:r>
    </w:p>
    <w:p w14:paraId="19EC301D">
      <w:pPr>
        <w:jc w:val="center"/>
        <w:rPr>
          <w:rFonts w:ascii="宋体"/>
          <w:b/>
          <w:color w:val="000000"/>
          <w:szCs w:val="21"/>
        </w:rPr>
      </w:pPr>
      <w:r>
        <w:rPr>
          <w:rFonts w:hint="eastAsia" w:ascii="宋体"/>
          <w:b/>
          <w:color w:val="000000"/>
          <w:szCs w:val="21"/>
        </w:rPr>
        <w:t>照片</w:t>
      </w:r>
      <w:r>
        <w:rPr>
          <w:rFonts w:hint="eastAsia" w:ascii="宋体" w:eastAsia="宋体"/>
          <w:b/>
          <w:color w:val="000000"/>
          <w:szCs w:val="21"/>
          <w:lang w:val="en-US" w:eastAsia="zh-CN"/>
        </w:rPr>
        <w:t>2-</w:t>
      </w:r>
      <w:r>
        <w:rPr>
          <w:rFonts w:hint="eastAsia" w:ascii="宋体"/>
          <w:b/>
          <w:color w:val="000000"/>
          <w:szCs w:val="21"/>
        </w:rPr>
        <w:t xml:space="preserve">1  </w:t>
      </w:r>
      <w:r>
        <w:rPr>
          <w:rFonts w:hint="eastAsia" w:ascii="宋体" w:eastAsia="宋体"/>
          <w:b/>
          <w:color w:val="000000"/>
          <w:szCs w:val="21"/>
          <w:lang w:eastAsia="zh-CN"/>
        </w:rPr>
        <w:t>第四系</w:t>
      </w:r>
      <w:r>
        <w:rPr>
          <w:rFonts w:hint="eastAsia" w:ascii="宋体"/>
          <w:b/>
          <w:color w:val="000000"/>
          <w:szCs w:val="21"/>
        </w:rPr>
        <w:t>砂卵砾层</w:t>
      </w:r>
      <w:bookmarkStart w:id="37" w:name="_Toc130351074"/>
      <w:bookmarkStart w:id="38" w:name="_Toc173225346"/>
      <w:bookmarkStart w:id="39" w:name="_Toc186360718"/>
      <w:bookmarkStart w:id="40" w:name="_Toc173318886"/>
      <w:bookmarkStart w:id="41" w:name="_Toc168280823"/>
      <w:bookmarkStart w:id="42" w:name="_Toc193789387"/>
      <w:bookmarkStart w:id="43" w:name="_Toc189391755"/>
      <w:bookmarkStart w:id="44" w:name="_Toc217199490"/>
      <w:bookmarkStart w:id="45" w:name="_Toc197330719"/>
      <w:bookmarkStart w:id="46" w:name="_Toc85843133"/>
      <w:bookmarkStart w:id="47" w:name="_Toc194112596"/>
    </w:p>
    <w:bookmarkEnd w:id="37"/>
    <w:bookmarkEnd w:id="38"/>
    <w:bookmarkEnd w:id="39"/>
    <w:bookmarkEnd w:id="40"/>
    <w:bookmarkEnd w:id="41"/>
    <w:bookmarkEnd w:id="42"/>
    <w:bookmarkEnd w:id="43"/>
    <w:bookmarkEnd w:id="44"/>
    <w:bookmarkEnd w:id="45"/>
    <w:bookmarkEnd w:id="46"/>
    <w:bookmarkEnd w:id="47"/>
    <w:p w14:paraId="76B01684">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（二）地质构造</w:t>
      </w:r>
      <w:bookmarkEnd w:id="36"/>
    </w:p>
    <w:p w14:paraId="76321E7E">
      <w:pPr>
        <w:pStyle w:val="6"/>
        <w:widowControl w:val="0"/>
        <w:kinsoku/>
        <w:spacing w:line="360" w:lineRule="auto"/>
        <w:ind w:firstLine="544" w:firstLineChars="200"/>
        <w:jc w:val="both"/>
        <w:rPr>
          <w:rFonts w:hint="eastAsia" w:ascii="宋体" w:hAnsi="宋体" w:eastAsia="宋体" w:cs="宋体"/>
          <w:spacing w:val="-4"/>
          <w:sz w:val="28"/>
          <w:szCs w:val="28"/>
          <w:lang w:eastAsia="zh-CN"/>
        </w:rPr>
      </w:pPr>
      <w:bookmarkStart w:id="48" w:name="_Toc2128"/>
      <w:r>
        <w:rPr>
          <w:rFonts w:hint="eastAsia" w:ascii="宋体" w:hAnsi="宋体" w:eastAsia="宋体" w:cs="宋体"/>
          <w:spacing w:val="-4"/>
          <w:sz w:val="28"/>
          <w:szCs w:val="28"/>
          <w:lang w:eastAsia="zh-CN"/>
        </w:rPr>
        <w:t>矿区内未见断裂、褶皱构造。</w:t>
      </w:r>
    </w:p>
    <w:p w14:paraId="1ADB46BC">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（三）岩浆岩</w:t>
      </w:r>
      <w:bookmarkEnd w:id="48"/>
    </w:p>
    <w:p w14:paraId="693567D8">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矿区内未见岩浆岩及各类脉岩出露。</w:t>
      </w:r>
    </w:p>
    <w:p w14:paraId="40DDC999">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49" w:name="_Toc31213"/>
      <w:r>
        <w:rPr>
          <w:rFonts w:hint="eastAsia" w:ascii="宋体" w:hAnsi="宋体" w:eastAsia="宋体" w:cs="宋体"/>
          <w:sz w:val="28"/>
          <w:szCs w:val="28"/>
          <w:lang w:eastAsia="zh-CN"/>
        </w:rPr>
        <w:t>（四）水文地质条件</w:t>
      </w:r>
      <w:bookmarkEnd w:id="49"/>
    </w:p>
    <w:p w14:paraId="613387D9">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z w:val="28"/>
          <w:szCs w:val="28"/>
          <w:lang w:eastAsia="zh-CN"/>
        </w:rPr>
      </w:pPr>
      <w:bookmarkStart w:id="50" w:name="_Toc194112606"/>
      <w:bookmarkStart w:id="51" w:name="_Toc197330729"/>
      <w:bookmarkStart w:id="52" w:name="_Toc130351083"/>
      <w:bookmarkStart w:id="53" w:name="_Toc173225355"/>
      <w:bookmarkStart w:id="54" w:name="_Toc168280832"/>
      <w:bookmarkStart w:id="55" w:name="_Toc173318896"/>
      <w:bookmarkStart w:id="56" w:name="_Toc189391764"/>
      <w:bookmarkStart w:id="57" w:name="_Toc186360728"/>
      <w:bookmarkStart w:id="58" w:name="_Toc85843142"/>
      <w:bookmarkStart w:id="59" w:name="_Toc193789396"/>
      <w:bookmarkStart w:id="60" w:name="_Toc20026"/>
      <w:r>
        <w:rPr>
          <w:rFonts w:hint="eastAsia" w:ascii="宋体" w:hAnsi="宋体" w:eastAsia="宋体" w:cs="宋体"/>
          <w:sz w:val="28"/>
          <w:szCs w:val="28"/>
          <w:lang w:eastAsia="zh-CN"/>
        </w:rPr>
        <w:t>矿区地处柴达木盆地南缘的茶格高速南，</w:t>
      </w:r>
      <w:bookmarkEnd w:id="50"/>
      <w:bookmarkEnd w:id="51"/>
      <w:bookmarkEnd w:id="52"/>
      <w:bookmarkEnd w:id="53"/>
      <w:bookmarkEnd w:id="54"/>
      <w:bookmarkEnd w:id="55"/>
      <w:bookmarkEnd w:id="56"/>
      <w:bookmarkEnd w:id="57"/>
      <w:bookmarkEnd w:id="58"/>
      <w:bookmarkEnd w:id="59"/>
      <w:r>
        <w:rPr>
          <w:rFonts w:hint="eastAsia" w:ascii="宋体" w:hAnsi="宋体" w:eastAsia="宋体" w:cs="宋体"/>
          <w:sz w:val="28"/>
          <w:szCs w:val="28"/>
          <w:lang w:eastAsia="zh-CN"/>
        </w:rPr>
        <w:t>地形平缓，起伏变化不大。</w:t>
      </w:r>
    </w:p>
    <w:p w14:paraId="0689F8DC">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矿区属干旱大陆型气候，</w:t>
      </w:r>
      <w:r>
        <w:rPr>
          <w:rFonts w:hint="eastAsia" w:ascii="宋体" w:hAnsi="宋体" w:eastAsia="宋体" w:cs="宋体"/>
          <w:sz w:val="28"/>
          <w:szCs w:val="28"/>
          <w:lang w:val="en-US" w:eastAsia="zh-CN"/>
        </w:rPr>
        <w:t>具有干燥气压低、日温差大、日照时间长、太阳辐射强、降水量小、蒸发量大、风沙大等特点。年平均温度为4.2℃，年平均最高温度为9.1℃，年平均最低温度为-6℃，年最冷月份平均温度（1月）为-10.7℃，年最热月份平均温度（7～8月）为17.2℃，极端最高温度为34.6℃，极端最低温度为-26.5℃</w:t>
      </w:r>
      <w:r>
        <w:rPr>
          <w:rFonts w:hint="eastAsia" w:ascii="宋体" w:hAnsi="宋体" w:eastAsia="宋体" w:cs="宋体"/>
          <w:sz w:val="28"/>
          <w:szCs w:val="28"/>
          <w:lang w:eastAsia="zh-CN"/>
        </w:rPr>
        <w:t>。大气降水为主要补给来源，补给条件差。</w:t>
      </w:r>
    </w:p>
    <w:p w14:paraId="0EB5189A">
      <w:pPr>
        <w:keepNext w:val="0"/>
        <w:keepLines w:val="0"/>
        <w:pageBreakBefore w:val="0"/>
        <w:widowControl w:val="0"/>
        <w:kinsoku/>
        <w:wordWrap/>
        <w:overflowPunct w:val="0"/>
        <w:topLinePunct w:val="0"/>
        <w:autoSpaceDE/>
        <w:autoSpaceDN/>
        <w:bidi w:val="0"/>
        <w:adjustRightInd/>
        <w:snapToGrid/>
        <w:spacing w:line="360" w:lineRule="auto"/>
        <w:ind w:firstLine="560" w:firstLineChars="200"/>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矿点内第四系洪积砂砾层均为透水层。矿点及其附近未见地表水，亦未见地下水出露。矿点内最低开采标高为2868.0m。矿山在未来的开采过程中局部会形成凹陷地形，但该区大气降水少，蒸发量远大于降雨量，地下水水位低，砂砾层透水性强，大气降雨可短时间内渗入地下，矿点水文条件简单。</w:t>
      </w:r>
    </w:p>
    <w:p w14:paraId="7786E92D">
      <w:pPr>
        <w:spacing w:line="360" w:lineRule="auto"/>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矿点内未见地表径流亦未见地下水出露，矿点内生活用水需就近从昆仑经济开发区拉运或埋设水管解决。</w:t>
      </w:r>
    </w:p>
    <w:p w14:paraId="1F0ED628">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（五）工程地质条件</w:t>
      </w:r>
      <w:bookmarkEnd w:id="60"/>
    </w:p>
    <w:p w14:paraId="3A0DA2A7">
      <w:pPr>
        <w:spacing w:line="360" w:lineRule="auto"/>
        <w:ind w:firstLine="560" w:firstLineChars="200"/>
        <w:rPr>
          <w:rFonts w:hint="eastAsia" w:ascii="宋体" w:hAnsi="宋体" w:eastAsia="宋体" w:cs="宋体"/>
          <w:sz w:val="28"/>
          <w:szCs w:val="28"/>
          <w:lang w:eastAsia="zh-CN"/>
        </w:rPr>
      </w:pPr>
      <w:bookmarkStart w:id="61" w:name="_Toc10711"/>
      <w:r>
        <w:rPr>
          <w:rFonts w:hint="eastAsia" w:ascii="宋体" w:hAnsi="宋体" w:eastAsia="宋体" w:cs="宋体"/>
          <w:sz w:val="28"/>
          <w:szCs w:val="28"/>
          <w:lang w:eastAsia="zh-CN"/>
        </w:rPr>
        <w:t>矿区内工程岩组简单，仅为第四系上更新统洪积砂砾石层，砂砾石呈松散状，力学性质差。</w:t>
      </w:r>
    </w:p>
    <w:p w14:paraId="589A39EE">
      <w:pPr>
        <w:spacing w:line="360" w:lineRule="auto"/>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矿山未来开采将形成四面边坡，虽然砂砾石层力学性质差，但未来形成的最大边坡高度仅为4m,因此对开采安全基本无影响。</w:t>
      </w:r>
    </w:p>
    <w:p w14:paraId="6D31D788">
      <w:pPr>
        <w:spacing w:line="360" w:lineRule="auto"/>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未来开采采用机械挖掘，对形成的陡边坡应进行机械削坡处理，保证安全生产。</w:t>
      </w:r>
    </w:p>
    <w:p w14:paraId="66216B6D">
      <w:pPr>
        <w:spacing w:line="360" w:lineRule="auto"/>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综上所述，矿区工程地质条件简单，不易发生工程地质问题。</w:t>
      </w:r>
    </w:p>
    <w:p w14:paraId="1582C910">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（六）环境地质条件</w:t>
      </w:r>
      <w:bookmarkEnd w:id="61"/>
    </w:p>
    <w:p w14:paraId="55681931">
      <w:pPr>
        <w:keepNext w:val="0"/>
        <w:keepLines w:val="0"/>
        <w:pageBreakBefore w:val="0"/>
        <w:widowControl w:val="0"/>
        <w:kinsoku/>
        <w:wordWrap/>
        <w:overflowPunct w:val="0"/>
        <w:topLinePunct w:val="0"/>
        <w:autoSpaceDE/>
        <w:autoSpaceDN/>
        <w:bidi w:val="0"/>
        <w:adjustRightInd/>
        <w:snapToGrid/>
        <w:spacing w:line="360" w:lineRule="auto"/>
        <w:ind w:firstLine="560" w:firstLineChars="200"/>
        <w:jc w:val="both"/>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1、地震及区域稳定性</w:t>
      </w:r>
    </w:p>
    <w:p w14:paraId="29DB9123">
      <w:pPr>
        <w:keepNext w:val="0"/>
        <w:keepLines w:val="0"/>
        <w:pageBreakBefore w:val="0"/>
        <w:widowControl w:val="0"/>
        <w:kinsoku/>
        <w:wordWrap/>
        <w:overflowPunct w:val="0"/>
        <w:topLinePunct w:val="0"/>
        <w:autoSpaceDE/>
        <w:autoSpaceDN/>
        <w:bidi w:val="0"/>
        <w:adjustRightInd/>
        <w:snapToGrid/>
        <w:spacing w:line="360" w:lineRule="auto"/>
        <w:ind w:firstLine="560" w:firstLineChars="200"/>
        <w:jc w:val="both"/>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昆仑山区构造运动较强烈，地震活动较频繁，据国家地震局工程地震研究中心资料，柴达木南缘断裂在两万年前曾引发过地震，南山口断裂在三万年以前沿断裂有过地震，昆中断裂在一万两千年前引发过地震，东西大滩断裂在全新世以来共引发过5次地震，平均约2000年即发生一次大震，最近一次是1937年的7.5级地震。昆仑山断裂曾在2000年前引发过地震，最新一次地震发生于2001年11月14H，震级高达8.1级。</w:t>
      </w:r>
    </w:p>
    <w:p w14:paraId="268DE1C9">
      <w:pPr>
        <w:keepNext w:val="0"/>
        <w:keepLines w:val="0"/>
        <w:pageBreakBefore w:val="0"/>
        <w:widowControl w:val="0"/>
        <w:kinsoku/>
        <w:wordWrap/>
        <w:overflowPunct w:val="0"/>
        <w:topLinePunct w:val="0"/>
        <w:autoSpaceDE/>
        <w:autoSpaceDN/>
        <w:bidi w:val="0"/>
        <w:adjustRightInd/>
        <w:snapToGrid/>
        <w:spacing w:line="360" w:lineRule="auto"/>
        <w:ind w:firstLine="560" w:firstLineChars="200"/>
        <w:jc w:val="both"/>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根据国家质量监督检验检疫总局和中国国家标准化管理委员会2015年5月15日发布的《中国地震动参数区划图》(GB18306-2015)中附录A《中国地震动峰值加速度区划图》、附录B《中国地震动加速度反应谱特征周期区划图》，评估区地震动峰值加速度为0.10g(图2-2)，相应的地震烈度VII度，地震动加速度反应谱特征周期0.</w:t>
      </w:r>
      <w:r>
        <w:rPr>
          <w:rFonts w:hint="eastAsia" w:ascii="宋体" w:hAnsi="宋体" w:eastAsia="宋体" w:cs="宋体"/>
          <w:sz w:val="28"/>
          <w:szCs w:val="28"/>
          <w:lang w:eastAsia="en-US"/>
        </w:rPr>
        <w:t>45s</w:t>
      </w:r>
      <w:r>
        <w:rPr>
          <w:rFonts w:hint="eastAsia" w:ascii="宋体" w:hAnsi="宋体" w:eastAsia="宋体" w:cs="宋体"/>
          <w:sz w:val="28"/>
          <w:szCs w:val="28"/>
          <w:lang w:eastAsia="zh-CN"/>
        </w:rPr>
        <w:t>。</w:t>
      </w:r>
    </w:p>
    <w:p w14:paraId="059A806F">
      <w:pPr>
        <w:widowControl/>
        <w:adjustRightInd w:val="0"/>
        <w:snapToGrid w:val="0"/>
        <w:spacing w:line="240" w:lineRule="auto"/>
        <w:ind w:firstLine="0" w:firstLineChars="0"/>
        <w:jc w:val="center"/>
        <w:rPr>
          <w:rFonts w:ascii="宋体" w:hAnsi="宋体" w:cs="宋体"/>
          <w:szCs w:val="24"/>
          <w:vertAlign w:val="baseline"/>
        </w:rPr>
      </w:pPr>
    </w:p>
    <w:tbl>
      <w:tblPr>
        <w:tblStyle w:val="18"/>
        <w:tblW w:w="0" w:type="auto"/>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5"/>
      </w:tblGrid>
      <w:tr w14:paraId="3EBAC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7" w:hRule="atLeast"/>
        </w:trPr>
        <w:tc>
          <w:tcPr>
            <w:tcW w:w="8325" w:type="dxa"/>
          </w:tcPr>
          <w:p w14:paraId="24A68354">
            <w:pPr>
              <w:widowControl/>
              <w:adjustRightInd w:val="0"/>
              <w:snapToGrid w:val="0"/>
              <w:spacing w:line="240" w:lineRule="auto"/>
              <w:jc w:val="center"/>
              <w:rPr>
                <w:rFonts w:ascii="宋体" w:hAnsi="宋体" w:cs="宋体"/>
                <w:szCs w:val="24"/>
                <w:vertAlign w:val="baseline"/>
              </w:rPr>
            </w:pPr>
            <w:r>
              <w:rPr>
                <w:rFonts w:ascii="宋体" w:hAnsi="宋体" w:cs="宋体"/>
                <w:szCs w:val="24"/>
              </w:rPr>
              <mc:AlternateContent>
                <mc:Choice Requires="wps">
                  <w:drawing>
                    <wp:anchor distT="0" distB="0" distL="114300" distR="114300" simplePos="0" relativeHeight="251667456" behindDoc="0" locked="0" layoutInCell="1" allowOverlap="1">
                      <wp:simplePos x="0" y="0"/>
                      <wp:positionH relativeFrom="column">
                        <wp:posOffset>3082290</wp:posOffset>
                      </wp:positionH>
                      <wp:positionV relativeFrom="paragraph">
                        <wp:posOffset>1942465</wp:posOffset>
                      </wp:positionV>
                      <wp:extent cx="79375" cy="79375"/>
                      <wp:effectExtent l="12700" t="12700" r="22225" b="22225"/>
                      <wp:wrapNone/>
                      <wp:docPr id="7" name="椭圆 7"/>
                      <wp:cNvGraphicFramePr/>
                      <a:graphic xmlns:a="http://schemas.openxmlformats.org/drawingml/2006/main">
                        <a:graphicData uri="http://schemas.microsoft.com/office/word/2010/wordprocessingShape">
                          <wps:wsp>
                            <wps:cNvSpPr/>
                            <wps:spPr>
                              <a:xfrm>
                                <a:off x="0" y="0"/>
                                <a:ext cx="79513" cy="79513"/>
                              </a:xfrm>
                              <a:prstGeom prst="ellipse">
                                <a:avLst/>
                              </a:prstGeom>
                              <a:solidFill>
                                <a:srgbClr val="FF0000"/>
                              </a:solidFill>
                              <a:ln>
                                <a:solidFill>
                                  <a:srgbClr val="FF0000"/>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42.7pt;margin-top:152.95pt;height:6.25pt;width:6.25pt;z-index:251667456;v-text-anchor:middle;mso-width-relative:page;mso-height-relative:page;" fillcolor="#FF0000" filled="t" stroked="t" coordsize="21600,21600" o:gfxdata="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Aqu/d2AAAAAsBAAAPAAAAAAAAAAEAIAAAACIAAABkcnMvZG93bnJldi54bWxQSwECFAAU&#10;AAAACACHTuJACqlKC2MCAADrBAAADgAAAAAAAAABACAAAAAnAQAAZHJzL2Uyb0RvYy54bWxQSwUG&#10;AAAAAAYABgBZAQAA/AUAAAAA&#10;">
                      <v:fill on="t" focussize="0,0"/>
                      <v:stroke weight="2pt" color="#FF0000 [3204]" joinstyle="round"/>
                      <v:imagedata o:title=""/>
                      <o:lock v:ext="edit" aspectratio="f"/>
                    </v:shape>
                  </w:pict>
                </mc:Fallback>
              </mc:AlternateContent>
            </w:r>
            <w:r>
              <w:drawing>
                <wp:anchor distT="0" distB="0" distL="114300" distR="114300" simplePos="0" relativeHeight="251673600" behindDoc="1" locked="0" layoutInCell="1" allowOverlap="1">
                  <wp:simplePos x="0" y="0"/>
                  <wp:positionH relativeFrom="column">
                    <wp:posOffset>-57150</wp:posOffset>
                  </wp:positionH>
                  <wp:positionV relativeFrom="paragraph">
                    <wp:posOffset>9525</wp:posOffset>
                  </wp:positionV>
                  <wp:extent cx="5271770" cy="2992120"/>
                  <wp:effectExtent l="0" t="0" r="5080" b="17780"/>
                  <wp:wrapNone/>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22"/>
                          <a:stretch>
                            <a:fillRect/>
                          </a:stretch>
                        </pic:blipFill>
                        <pic:spPr>
                          <a:xfrm>
                            <a:off x="0" y="0"/>
                            <a:ext cx="5271770" cy="2992120"/>
                          </a:xfrm>
                          <a:prstGeom prst="rect">
                            <a:avLst/>
                          </a:prstGeom>
                          <a:noFill/>
                          <a:ln>
                            <a:noFill/>
                          </a:ln>
                        </pic:spPr>
                      </pic:pic>
                    </a:graphicData>
                  </a:graphic>
                </wp:anchor>
              </w:drawing>
            </w:r>
          </w:p>
        </w:tc>
      </w:tr>
    </w:tbl>
    <w:p w14:paraId="5FF2D9C8">
      <w:pPr>
        <w:jc w:val="center"/>
        <w:rPr>
          <w:rFonts w:hint="eastAsia" w:ascii="宋体"/>
          <w:b/>
          <w:color w:val="000000"/>
          <w:szCs w:val="21"/>
        </w:rPr>
      </w:pPr>
      <w:r>
        <w:rPr>
          <w:rFonts w:hint="eastAsia" w:ascii="宋体"/>
          <w:b/>
          <w:color w:val="000000"/>
          <w:szCs w:val="21"/>
        </w:rPr>
        <w:t xml:space="preserve">图2-2 </w:t>
      </w:r>
      <w:r>
        <w:rPr>
          <w:rFonts w:hint="eastAsia" w:ascii="宋体"/>
          <w:b/>
          <w:color w:val="000000"/>
          <w:szCs w:val="21"/>
          <w:lang w:val="en-US" w:eastAsia="zh-CN"/>
        </w:rPr>
        <w:t xml:space="preserve"> </w:t>
      </w:r>
      <w:r>
        <w:rPr>
          <w:rFonts w:hint="eastAsia" w:ascii="宋体"/>
          <w:b/>
          <w:color w:val="000000"/>
          <w:szCs w:val="21"/>
        </w:rPr>
        <w:t>地震动峰值加速度区划图</w:t>
      </w:r>
    </w:p>
    <w:p w14:paraId="0372D66A">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textAlignment w:val="baseline"/>
        <w:rPr>
          <w:rFonts w:ascii="宋体" w:hAnsi="宋体" w:cs="宋体"/>
          <w:sz w:val="28"/>
          <w:szCs w:val="28"/>
          <w:lang w:eastAsia="zh-CN"/>
        </w:rPr>
      </w:pPr>
      <w:r>
        <w:rPr>
          <w:rFonts w:hint="eastAsia" w:ascii="宋体" w:hAnsi="宋体" w:eastAsia="宋体" w:cs="宋体"/>
          <w:sz w:val="28"/>
          <w:szCs w:val="28"/>
          <w:lang w:eastAsia="zh-CN"/>
        </w:rPr>
        <w:t>2、</w:t>
      </w:r>
      <w:r>
        <w:rPr>
          <w:rFonts w:hint="eastAsia" w:ascii="宋体" w:hAnsi="宋体" w:cs="宋体"/>
          <w:sz w:val="28"/>
          <w:szCs w:val="28"/>
          <w:lang w:eastAsia="zh-CN"/>
        </w:rPr>
        <w:t>矿区环境地质评价</w:t>
      </w:r>
    </w:p>
    <w:p w14:paraId="052150B2">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z w:val="28"/>
          <w:szCs w:val="28"/>
          <w:lang w:eastAsia="zh-CN"/>
        </w:rPr>
      </w:pPr>
      <w:bookmarkStart w:id="62" w:name="_Toc20902"/>
      <w:r>
        <w:rPr>
          <w:rFonts w:hint="eastAsia" w:ascii="宋体" w:hAnsi="宋体" w:eastAsia="宋体" w:cs="宋体"/>
          <w:sz w:val="28"/>
          <w:szCs w:val="28"/>
          <w:lang w:eastAsia="zh-CN"/>
        </w:rPr>
        <w:t>矿区现存在较稳定的地形地貌，未来矿山开采，将产生不同程度的环境改变，破坏原始自然景观。</w:t>
      </w:r>
    </w:p>
    <w:p w14:paraId="13A6EEE3">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采矿过程中产生的粉尘、噪声、废弃物等均对环境有所影响，建议未来矿山开采尽量减少对矿权外植被的破坏，以保护矿权外的生态环境。</w:t>
      </w:r>
    </w:p>
    <w:p w14:paraId="09FF52EB">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矿区离居民点较远，且未来矿山生产采用机械挖掘，故不会给当地居民的生产生活造成太大的影响。空气流通较畅，大气环境良好，不需设置除尘设备进行废气净化。</w:t>
      </w:r>
    </w:p>
    <w:p w14:paraId="69FAD1EC">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采矿中对产生的生活、生产垃圾应进行填埋处理，严禁随意丢弃。</w:t>
      </w:r>
    </w:p>
    <w:p w14:paraId="0A2091E1">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r>
        <w:rPr>
          <w:rFonts w:hint="eastAsia" w:ascii="宋体" w:hAnsi="宋体" w:eastAsia="宋体" w:cs="宋体"/>
          <w:sz w:val="30"/>
          <w:szCs w:val="30"/>
          <w:lang w:eastAsia="zh-CN"/>
        </w:rPr>
        <w:t>四、矿区土地利用现状及采矿用地审批情况</w:t>
      </w:r>
      <w:bookmarkEnd w:id="62"/>
    </w:p>
    <w:p w14:paraId="1E8912F9">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63" w:name="_Toc7605"/>
      <w:r>
        <w:rPr>
          <w:rFonts w:hint="eastAsia" w:ascii="宋体" w:hAnsi="宋体" w:eastAsia="宋体" w:cs="宋体"/>
          <w:sz w:val="28"/>
          <w:szCs w:val="28"/>
          <w:lang w:eastAsia="zh-CN"/>
        </w:rPr>
        <w:t>（一）矿区土地利用现状</w:t>
      </w:r>
      <w:bookmarkEnd w:id="63"/>
    </w:p>
    <w:p w14:paraId="0BA990B5">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textAlignment w:val="baseline"/>
        <w:rPr>
          <w:rFonts w:hint="eastAsia" w:ascii="宋体" w:hAnsi="宋体" w:eastAsia="宋体" w:cs="宋体"/>
          <w:spacing w:val="-1"/>
          <w:sz w:val="28"/>
          <w:szCs w:val="28"/>
          <w:lang w:eastAsia="zh-CN"/>
        </w:rPr>
      </w:pPr>
      <w:r>
        <w:rPr>
          <w:rFonts w:hint="eastAsia" w:ascii="宋体" w:hAnsi="宋体" w:eastAsia="宋体" w:cs="宋体"/>
          <w:sz w:val="28"/>
          <w:szCs w:val="28"/>
        </w:rPr>
        <w:t>本次评估区土地总面积为</w:t>
      </w:r>
      <w:r>
        <w:rPr>
          <w:rFonts w:hint="eastAsia" w:ascii="宋体" w:hAnsi="宋体" w:eastAsia="宋体" w:cs="宋体"/>
          <w:sz w:val="28"/>
          <w:szCs w:val="28"/>
          <w:lang w:val="en-US" w:eastAsia="zh-CN"/>
        </w:rPr>
        <w:t>151.84</w:t>
      </w:r>
      <w:r>
        <w:rPr>
          <w:rFonts w:hint="eastAsia" w:ascii="宋体" w:hAnsi="宋体" w:eastAsia="宋体" w:cs="宋体"/>
          <w:sz w:val="28"/>
          <w:szCs w:val="28"/>
        </w:rPr>
        <w:t>hm</w:t>
      </w:r>
      <w:r>
        <w:rPr>
          <w:rFonts w:hint="eastAsia" w:ascii="宋体" w:hAnsi="宋体" w:eastAsia="宋体" w:cs="宋体"/>
          <w:sz w:val="28"/>
          <w:szCs w:val="28"/>
          <w:vertAlign w:val="superscript"/>
        </w:rPr>
        <w:t>2</w:t>
      </w:r>
      <w:r>
        <w:rPr>
          <w:rFonts w:hint="eastAsia" w:ascii="宋体" w:hAnsi="宋体" w:eastAsia="宋体" w:cs="宋体"/>
          <w:sz w:val="28"/>
          <w:szCs w:val="28"/>
        </w:rPr>
        <w:t>，</w:t>
      </w:r>
      <w:r>
        <w:rPr>
          <w:rFonts w:ascii="宋体" w:hAnsi="宋体" w:eastAsia="宋体" w:cs="宋体"/>
          <w:spacing w:val="3"/>
          <w:sz w:val="28"/>
          <w:szCs w:val="28"/>
          <w:lang w:eastAsia="zh-CN"/>
        </w:rPr>
        <w:t>矿区及周边主要用地类型为</w:t>
      </w:r>
      <w:r>
        <w:rPr>
          <w:rFonts w:hint="eastAsia" w:ascii="宋体" w:hAnsi="宋体" w:eastAsia="宋体" w:cs="宋体"/>
          <w:sz w:val="28"/>
          <w:szCs w:val="28"/>
          <w:lang w:eastAsia="zh-CN"/>
        </w:rPr>
        <w:t>采矿用地</w:t>
      </w:r>
      <w:r>
        <w:rPr>
          <w:rFonts w:hint="eastAsia" w:ascii="宋体" w:hAnsi="宋体" w:eastAsia="宋体" w:cs="宋体"/>
          <w:sz w:val="28"/>
          <w:szCs w:val="28"/>
        </w:rPr>
        <w:t>（</w:t>
      </w:r>
      <w:r>
        <w:rPr>
          <w:rFonts w:hint="eastAsia" w:ascii="宋体" w:hAnsi="宋体" w:eastAsia="宋体" w:cs="宋体"/>
          <w:sz w:val="28"/>
          <w:szCs w:val="28"/>
          <w:lang w:val="en-US" w:eastAsia="zh-CN"/>
        </w:rPr>
        <w:t>0602</w:t>
      </w:r>
      <w:r>
        <w:rPr>
          <w:rFonts w:hint="eastAsia" w:ascii="宋体" w:hAnsi="宋体" w:eastAsia="宋体" w:cs="宋体"/>
          <w:sz w:val="28"/>
          <w:szCs w:val="28"/>
        </w:rPr>
        <w:t>）</w:t>
      </w:r>
      <w:r>
        <w:rPr>
          <w:rFonts w:hint="eastAsia" w:ascii="宋体" w:hAnsi="宋体" w:eastAsia="宋体" w:cs="宋体"/>
          <w:sz w:val="28"/>
          <w:szCs w:val="28"/>
          <w:lang w:eastAsia="zh-CN"/>
        </w:rPr>
        <w:t>、农村道路</w:t>
      </w:r>
      <w:r>
        <w:rPr>
          <w:rFonts w:hint="eastAsia" w:ascii="宋体" w:hAnsi="宋体" w:eastAsia="宋体" w:cs="宋体"/>
          <w:sz w:val="28"/>
          <w:szCs w:val="28"/>
        </w:rPr>
        <w:t>（</w:t>
      </w:r>
      <w:r>
        <w:rPr>
          <w:rFonts w:hint="eastAsia" w:ascii="宋体" w:hAnsi="宋体" w:eastAsia="宋体" w:cs="宋体"/>
          <w:sz w:val="28"/>
          <w:szCs w:val="28"/>
          <w:lang w:val="en-US" w:eastAsia="zh-CN"/>
        </w:rPr>
        <w:t>1006</w:t>
      </w:r>
      <w:r>
        <w:rPr>
          <w:rFonts w:hint="eastAsia" w:ascii="宋体" w:hAnsi="宋体" w:eastAsia="宋体" w:cs="宋体"/>
          <w:sz w:val="28"/>
          <w:szCs w:val="28"/>
        </w:rPr>
        <w:t>）</w:t>
      </w:r>
      <w:r>
        <w:rPr>
          <w:rFonts w:hint="eastAsia" w:ascii="宋体" w:hAnsi="宋体" w:eastAsia="宋体" w:cs="宋体"/>
          <w:sz w:val="28"/>
          <w:szCs w:val="28"/>
          <w:lang w:eastAsia="zh-CN"/>
        </w:rPr>
        <w:t>及沙地</w:t>
      </w:r>
      <w:r>
        <w:rPr>
          <w:rFonts w:hint="eastAsia" w:ascii="宋体" w:hAnsi="宋体" w:eastAsia="宋体" w:cs="宋体"/>
          <w:sz w:val="28"/>
          <w:szCs w:val="28"/>
        </w:rPr>
        <w:t>（</w:t>
      </w:r>
      <w:r>
        <w:rPr>
          <w:rFonts w:hint="eastAsia" w:ascii="宋体" w:hAnsi="宋体" w:eastAsia="宋体" w:cs="宋体"/>
          <w:sz w:val="28"/>
          <w:szCs w:val="28"/>
          <w:lang w:val="en-US" w:eastAsia="zh-CN"/>
        </w:rPr>
        <w:t>1205</w:t>
      </w:r>
      <w:r>
        <w:rPr>
          <w:rFonts w:hint="eastAsia" w:ascii="宋体" w:hAnsi="宋体" w:eastAsia="宋体" w:cs="宋体"/>
          <w:sz w:val="28"/>
          <w:szCs w:val="28"/>
        </w:rPr>
        <w:t>）</w:t>
      </w:r>
      <w:r>
        <w:rPr>
          <w:rFonts w:ascii="宋体" w:hAnsi="宋体" w:eastAsia="宋体" w:cs="宋体"/>
          <w:spacing w:val="3"/>
          <w:sz w:val="28"/>
          <w:szCs w:val="28"/>
          <w:lang w:eastAsia="zh-CN"/>
        </w:rPr>
        <w:t>。根据现状调查，</w:t>
      </w:r>
      <w:r>
        <w:rPr>
          <w:rFonts w:hint="eastAsia" w:ascii="宋体" w:hAnsi="宋体" w:eastAsia="宋体" w:cs="宋体"/>
          <w:spacing w:val="3"/>
          <w:sz w:val="28"/>
          <w:szCs w:val="28"/>
          <w:lang w:eastAsia="zh-CN"/>
        </w:rPr>
        <w:t>截至目前青海省格尔木市茶格高速南建筑用砂2#矿</w:t>
      </w:r>
      <w:r>
        <w:rPr>
          <w:rFonts w:ascii="宋体" w:hAnsi="宋体" w:eastAsia="宋体" w:cs="宋体"/>
          <w:sz w:val="28"/>
          <w:szCs w:val="28"/>
          <w:lang w:eastAsia="zh-CN"/>
        </w:rPr>
        <w:t>矿区及采矿活动影响范围共占用土地面积</w:t>
      </w:r>
      <w:bookmarkStart w:id="64" w:name="_Hlk215916683"/>
      <w:r>
        <w:rPr>
          <w:rFonts w:hint="eastAsia" w:ascii="宋体" w:hAnsi="宋体" w:eastAsia="宋体" w:cs="宋体"/>
          <w:sz w:val="28"/>
          <w:szCs w:val="28"/>
          <w:lang w:val="en-US" w:eastAsia="zh-CN"/>
        </w:rPr>
        <w:t>49.09</w:t>
      </w:r>
      <w:r>
        <w:rPr>
          <w:rFonts w:ascii="宋体" w:hAnsi="宋体" w:eastAsia="宋体" w:cs="宋体"/>
          <w:sz w:val="28"/>
          <w:szCs w:val="28"/>
          <w:lang w:eastAsia="zh-CN"/>
        </w:rPr>
        <w:t>hm</w:t>
      </w:r>
      <w:r>
        <w:rPr>
          <w:rFonts w:ascii="宋体" w:hAnsi="宋体" w:eastAsia="宋体" w:cs="宋体"/>
          <w:sz w:val="28"/>
          <w:szCs w:val="28"/>
          <w:vertAlign w:val="superscript"/>
          <w:lang w:eastAsia="zh-CN"/>
        </w:rPr>
        <w:t>2</w:t>
      </w:r>
      <w:r>
        <w:rPr>
          <w:rFonts w:ascii="宋体" w:hAnsi="宋体" w:eastAsia="宋体" w:cs="宋体"/>
          <w:sz w:val="28"/>
          <w:szCs w:val="28"/>
          <w:lang w:eastAsia="zh-CN"/>
        </w:rPr>
        <w:t>，</w:t>
      </w:r>
      <w:bookmarkEnd w:id="64"/>
      <w:r>
        <w:rPr>
          <w:rFonts w:ascii="宋体" w:hAnsi="宋体" w:eastAsia="宋体" w:cs="宋体"/>
          <w:sz w:val="28"/>
          <w:szCs w:val="28"/>
          <w:lang w:eastAsia="zh-CN"/>
        </w:rPr>
        <w:t>其中</w:t>
      </w:r>
      <w:r>
        <w:rPr>
          <w:rFonts w:hint="eastAsia" w:ascii="宋体" w:hAnsi="宋体" w:eastAsia="宋体" w:cs="宋体"/>
          <w:sz w:val="28"/>
          <w:szCs w:val="28"/>
          <w:lang w:eastAsia="zh-CN"/>
        </w:rPr>
        <w:t>采矿场地挖损面积</w:t>
      </w:r>
      <w:r>
        <w:rPr>
          <w:rFonts w:hint="eastAsia" w:ascii="宋体" w:hAnsi="宋体" w:eastAsia="宋体" w:cs="宋体"/>
          <w:sz w:val="28"/>
          <w:szCs w:val="28"/>
          <w:lang w:val="en-US" w:eastAsia="zh-CN"/>
        </w:rPr>
        <w:t>44.62</w:t>
      </w:r>
      <w:r>
        <w:rPr>
          <w:rFonts w:hint="eastAsia" w:ascii="宋体" w:hAnsi="宋体" w:eastAsia="宋体" w:cs="宋体"/>
          <w:sz w:val="28"/>
          <w:szCs w:val="28"/>
          <w:lang w:eastAsia="zh-CN"/>
        </w:rPr>
        <w:t>，工业场地压占土地</w:t>
      </w:r>
      <w:r>
        <w:rPr>
          <w:rFonts w:hint="eastAsia" w:ascii="宋体" w:hAnsi="宋体" w:eastAsia="宋体" w:cs="宋体"/>
          <w:sz w:val="28"/>
          <w:szCs w:val="28"/>
          <w:lang w:val="en-US" w:eastAsia="zh-CN"/>
        </w:rPr>
        <w:t>4.23</w:t>
      </w:r>
      <w:r>
        <w:rPr>
          <w:rFonts w:ascii="宋体" w:hAnsi="宋体" w:eastAsia="宋体" w:cs="宋体"/>
          <w:sz w:val="28"/>
          <w:szCs w:val="28"/>
          <w:lang w:eastAsia="zh-CN"/>
        </w:rPr>
        <w:t>hm</w:t>
      </w:r>
      <w:r>
        <w:rPr>
          <w:rFonts w:ascii="宋体" w:hAnsi="宋体" w:eastAsia="宋体" w:cs="宋体"/>
          <w:sz w:val="28"/>
          <w:szCs w:val="28"/>
          <w:vertAlign w:val="superscript"/>
          <w:lang w:eastAsia="zh-CN"/>
        </w:rPr>
        <w:t>2</w:t>
      </w:r>
      <w:r>
        <w:rPr>
          <w:rFonts w:hint="eastAsia" w:ascii="宋体" w:hAnsi="宋体" w:eastAsia="宋体" w:cs="宋体"/>
          <w:sz w:val="28"/>
          <w:szCs w:val="28"/>
          <w:lang w:eastAsia="zh-CN"/>
        </w:rPr>
        <w:t>，</w:t>
      </w:r>
      <w:r>
        <w:rPr>
          <w:rFonts w:ascii="宋体" w:hAnsi="宋体" w:eastAsia="宋体" w:cs="宋体"/>
          <w:sz w:val="28"/>
          <w:szCs w:val="28"/>
          <w:lang w:eastAsia="zh-CN"/>
        </w:rPr>
        <w:t>矿山道路压占</w:t>
      </w:r>
      <w:r>
        <w:rPr>
          <w:rFonts w:hint="eastAsia" w:ascii="宋体" w:hAnsi="宋体" w:eastAsia="宋体" w:cs="宋体"/>
          <w:sz w:val="28"/>
          <w:szCs w:val="28"/>
          <w:lang w:val="en-US" w:eastAsia="zh-CN"/>
        </w:rPr>
        <w:t>0.24</w:t>
      </w:r>
      <w:r>
        <w:rPr>
          <w:rFonts w:ascii="宋体" w:hAnsi="宋体" w:eastAsia="宋体" w:cs="宋体"/>
          <w:sz w:val="28"/>
          <w:szCs w:val="28"/>
          <w:lang w:eastAsia="zh-CN"/>
        </w:rPr>
        <w:t>hm</w:t>
      </w:r>
      <w:r>
        <w:rPr>
          <w:rFonts w:ascii="宋体" w:hAnsi="宋体" w:eastAsia="宋体" w:cs="宋体"/>
          <w:sz w:val="28"/>
          <w:szCs w:val="28"/>
          <w:vertAlign w:val="superscript"/>
          <w:lang w:eastAsia="zh-CN"/>
        </w:rPr>
        <w:t>2</w:t>
      </w:r>
      <w:r>
        <w:rPr>
          <w:rFonts w:ascii="宋体" w:hAnsi="宋体" w:eastAsia="宋体" w:cs="宋体"/>
          <w:sz w:val="28"/>
          <w:szCs w:val="28"/>
          <w:lang w:eastAsia="zh-CN"/>
        </w:rPr>
        <w:t>，未破坏区面积为</w:t>
      </w:r>
      <w:bookmarkStart w:id="65" w:name="_Hlk215916694"/>
      <w:r>
        <w:rPr>
          <w:rFonts w:hint="eastAsia" w:ascii="宋体" w:hAnsi="宋体" w:eastAsia="宋体" w:cs="宋体"/>
          <w:sz w:val="28"/>
          <w:szCs w:val="28"/>
          <w:lang w:val="en-US" w:eastAsia="zh-CN"/>
        </w:rPr>
        <w:t>102.75</w:t>
      </w:r>
      <w:r>
        <w:rPr>
          <w:rFonts w:ascii="宋体" w:hAnsi="宋体" w:eastAsia="宋体" w:cs="宋体"/>
          <w:sz w:val="28"/>
          <w:szCs w:val="28"/>
          <w:lang w:eastAsia="zh-CN"/>
        </w:rPr>
        <w:t>hm</w:t>
      </w:r>
      <w:r>
        <w:rPr>
          <w:rFonts w:ascii="宋体" w:hAnsi="宋体" w:eastAsia="宋体" w:cs="宋体"/>
          <w:sz w:val="28"/>
          <w:szCs w:val="28"/>
          <w:vertAlign w:val="superscript"/>
          <w:lang w:eastAsia="zh-CN"/>
        </w:rPr>
        <w:t>2</w:t>
      </w:r>
      <w:r>
        <w:rPr>
          <w:rFonts w:ascii="宋体" w:hAnsi="宋体" w:eastAsia="宋体" w:cs="宋体"/>
          <w:sz w:val="28"/>
          <w:szCs w:val="28"/>
          <w:lang w:eastAsia="zh-CN"/>
        </w:rPr>
        <w:t>。</w:t>
      </w:r>
      <w:bookmarkEnd w:id="65"/>
      <w:r>
        <w:rPr>
          <w:rFonts w:hint="eastAsia" w:ascii="宋体" w:hAnsi="宋体" w:eastAsia="宋体" w:cs="宋体"/>
          <w:sz w:val="28"/>
          <w:szCs w:val="28"/>
          <w:lang w:eastAsia="zh-CN"/>
        </w:rPr>
        <w:t>未破坏区域主要为为开采采矿场地及外围区域。</w:t>
      </w:r>
      <w:r>
        <w:rPr>
          <w:rFonts w:ascii="宋体" w:hAnsi="宋体" w:eastAsia="宋体" w:cs="宋体"/>
          <w:spacing w:val="3"/>
          <w:sz w:val="28"/>
          <w:szCs w:val="28"/>
          <w:lang w:eastAsia="zh-CN"/>
        </w:rPr>
        <w:t>本次申请矿区范围不占用永久基本农田</w:t>
      </w:r>
      <w:r>
        <w:rPr>
          <w:rFonts w:ascii="宋体" w:hAnsi="宋体" w:eastAsia="宋体" w:cs="宋体"/>
          <w:sz w:val="28"/>
          <w:szCs w:val="28"/>
          <w:lang w:eastAsia="zh-CN"/>
        </w:rPr>
        <w:t>。项目区不涉及生态红线，不在国家和省级划定的</w:t>
      </w:r>
      <w:r>
        <w:rPr>
          <w:rFonts w:ascii="宋体" w:hAnsi="宋体" w:eastAsia="宋体" w:cs="宋体"/>
          <w:spacing w:val="-1"/>
          <w:sz w:val="28"/>
          <w:szCs w:val="28"/>
          <w:lang w:eastAsia="zh-CN"/>
        </w:rPr>
        <w:t>自然保</w:t>
      </w:r>
      <w:r>
        <w:rPr>
          <w:rFonts w:ascii="宋体" w:hAnsi="宋体" w:eastAsia="宋体" w:cs="宋体"/>
          <w:spacing w:val="3"/>
          <w:sz w:val="28"/>
          <w:szCs w:val="28"/>
          <w:lang w:eastAsia="zh-CN"/>
        </w:rPr>
        <w:t>护区、风景名胜区、湿地公园、森林公园、基本农田等范围内，采矿权的设置不发生矿业权争议等问题。</w:t>
      </w:r>
      <w:r>
        <w:rPr>
          <w:rFonts w:ascii="宋体" w:hAnsi="宋体" w:eastAsia="宋体" w:cs="宋体"/>
          <w:spacing w:val="4"/>
          <w:sz w:val="28"/>
          <w:szCs w:val="28"/>
          <w:lang w:eastAsia="zh-CN"/>
        </w:rPr>
        <w:t>根据</w:t>
      </w:r>
      <w:r>
        <w:rPr>
          <w:rFonts w:hint="eastAsia" w:ascii="宋体" w:hAnsi="宋体" w:eastAsia="宋体" w:cs="宋体"/>
          <w:spacing w:val="4"/>
          <w:sz w:val="28"/>
          <w:szCs w:val="28"/>
          <w:lang w:eastAsia="zh-CN"/>
        </w:rPr>
        <w:t>格尔木市</w:t>
      </w:r>
      <w:r>
        <w:rPr>
          <w:rFonts w:ascii="宋体" w:hAnsi="宋体" w:eastAsia="宋体" w:cs="宋体"/>
          <w:spacing w:val="4"/>
          <w:sz w:val="28"/>
          <w:szCs w:val="28"/>
          <w:lang w:eastAsia="zh-CN"/>
        </w:rPr>
        <w:t>202</w:t>
      </w:r>
      <w:r>
        <w:rPr>
          <w:rFonts w:ascii="宋体" w:hAnsi="宋体" w:eastAsia="宋体" w:cs="宋体"/>
          <w:spacing w:val="3"/>
          <w:sz w:val="28"/>
          <w:szCs w:val="28"/>
          <w:lang w:eastAsia="zh-CN"/>
        </w:rPr>
        <w:t>4年度土地利用变更数据库查询，矿区用地类型及面积见矿区土地利用现状</w:t>
      </w:r>
      <w:r>
        <w:rPr>
          <w:rFonts w:ascii="宋体" w:hAnsi="宋体" w:eastAsia="宋体" w:cs="宋体"/>
          <w:spacing w:val="-1"/>
          <w:sz w:val="28"/>
          <w:szCs w:val="28"/>
          <w:lang w:eastAsia="zh-CN"/>
        </w:rPr>
        <w:t>表2-</w:t>
      </w:r>
      <w:r>
        <w:rPr>
          <w:rFonts w:hint="eastAsia" w:ascii="宋体" w:hAnsi="宋体" w:eastAsia="宋体" w:cs="宋体"/>
          <w:spacing w:val="-1"/>
          <w:sz w:val="28"/>
          <w:szCs w:val="28"/>
          <w:lang w:eastAsia="zh-CN"/>
        </w:rPr>
        <w:t>3</w:t>
      </w:r>
      <w:r>
        <w:rPr>
          <w:rFonts w:ascii="宋体" w:hAnsi="宋体" w:eastAsia="宋体" w:cs="宋体"/>
          <w:spacing w:val="-1"/>
          <w:sz w:val="28"/>
          <w:szCs w:val="28"/>
          <w:lang w:eastAsia="zh-CN"/>
        </w:rPr>
        <w:t>，土地利用权属见表2-</w:t>
      </w:r>
      <w:r>
        <w:rPr>
          <w:rFonts w:hint="eastAsia" w:ascii="宋体" w:hAnsi="宋体" w:eastAsia="宋体" w:cs="宋体"/>
          <w:spacing w:val="-1"/>
          <w:sz w:val="28"/>
          <w:szCs w:val="28"/>
          <w:lang w:eastAsia="zh-CN"/>
        </w:rPr>
        <w:t>4</w:t>
      </w:r>
      <w:r>
        <w:rPr>
          <w:rFonts w:ascii="宋体" w:hAnsi="宋体" w:eastAsia="宋体" w:cs="宋体"/>
          <w:spacing w:val="-1"/>
          <w:sz w:val="28"/>
          <w:szCs w:val="28"/>
          <w:lang w:eastAsia="zh-CN"/>
        </w:rPr>
        <w:t>。</w:t>
      </w:r>
    </w:p>
    <w:p w14:paraId="032136B7">
      <w:pPr>
        <w:jc w:val="center"/>
        <w:rPr>
          <w:rFonts w:hint="eastAsia" w:ascii="宋体" w:hAnsi="宋体" w:eastAsia="宋体" w:cs="宋体"/>
          <w:b/>
          <w:bCs/>
          <w:szCs w:val="24"/>
        </w:rPr>
      </w:pPr>
      <w:r>
        <w:rPr>
          <w:rFonts w:hint="eastAsia" w:ascii="宋体" w:hAnsi="宋体" w:eastAsia="宋体" w:cs="宋体"/>
          <w:b/>
          <w:bCs/>
          <w:szCs w:val="24"/>
        </w:rPr>
        <w:t>表2</w:t>
      </w:r>
      <w:r>
        <w:rPr>
          <w:rFonts w:hint="eastAsia" w:ascii="宋体" w:hAnsi="宋体" w:eastAsia="宋体" w:cs="宋体"/>
          <w:b/>
          <w:bCs/>
          <w:szCs w:val="24"/>
          <w:lang w:eastAsia="zh-CN"/>
        </w:rPr>
        <w:t>-3</w:t>
      </w:r>
      <w:r>
        <w:rPr>
          <w:rFonts w:hint="eastAsia" w:ascii="宋体" w:hAnsi="宋体" w:eastAsia="宋体" w:cs="宋体"/>
          <w:b/>
          <w:bCs/>
          <w:szCs w:val="24"/>
        </w:rPr>
        <w:t xml:space="preserve">  土地利用现状统计表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7"/>
        <w:gridCol w:w="1760"/>
        <w:gridCol w:w="1257"/>
        <w:gridCol w:w="1456"/>
        <w:gridCol w:w="2902"/>
      </w:tblGrid>
      <w:tr w14:paraId="4F3C0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7" w:type="dxa"/>
            <w:gridSpan w:val="2"/>
            <w:vAlign w:val="center"/>
          </w:tcPr>
          <w:p w14:paraId="2C3CBE7B">
            <w:pPr>
              <w:widowControl w:val="0"/>
              <w:jc w:val="center"/>
              <w:rPr>
                <w:rFonts w:hint="eastAsia" w:ascii="宋体" w:hAnsi="宋体" w:eastAsia="宋体" w:cs="宋体"/>
              </w:rPr>
            </w:pPr>
            <w:r>
              <w:rPr>
                <w:rFonts w:hint="eastAsia" w:ascii="宋体" w:hAnsi="宋体" w:eastAsia="宋体" w:cs="宋体"/>
              </w:rPr>
              <w:t>一级地类</w:t>
            </w:r>
          </w:p>
        </w:tc>
        <w:tc>
          <w:tcPr>
            <w:tcW w:w="2713" w:type="dxa"/>
            <w:gridSpan w:val="2"/>
            <w:vAlign w:val="center"/>
          </w:tcPr>
          <w:p w14:paraId="316450C6">
            <w:pPr>
              <w:widowControl w:val="0"/>
              <w:jc w:val="center"/>
              <w:rPr>
                <w:rFonts w:hint="eastAsia" w:ascii="宋体" w:hAnsi="宋体" w:eastAsia="宋体" w:cs="宋体"/>
              </w:rPr>
            </w:pPr>
            <w:r>
              <w:rPr>
                <w:rFonts w:hint="eastAsia" w:ascii="宋体" w:hAnsi="宋体" w:eastAsia="宋体" w:cs="宋体"/>
              </w:rPr>
              <w:t>二级地类</w:t>
            </w:r>
          </w:p>
        </w:tc>
        <w:tc>
          <w:tcPr>
            <w:tcW w:w="2902" w:type="dxa"/>
            <w:vAlign w:val="center"/>
          </w:tcPr>
          <w:p w14:paraId="707B8F79">
            <w:pPr>
              <w:widowControl w:val="0"/>
              <w:jc w:val="center"/>
              <w:rPr>
                <w:rFonts w:hint="eastAsia" w:ascii="宋体" w:hAnsi="宋体" w:eastAsia="宋体" w:cs="宋体"/>
              </w:rPr>
            </w:pPr>
            <w:r>
              <w:rPr>
                <w:rFonts w:hint="eastAsia" w:ascii="宋体" w:hAnsi="宋体" w:eastAsia="宋体" w:cs="宋体"/>
              </w:rPr>
              <w:t>矿区面积（hm</w:t>
            </w:r>
            <w:r>
              <w:rPr>
                <w:rFonts w:hint="eastAsia" w:ascii="宋体" w:hAnsi="宋体" w:eastAsia="宋体" w:cs="宋体"/>
                <w:vertAlign w:val="superscript"/>
              </w:rPr>
              <w:t>2</w:t>
            </w:r>
            <w:r>
              <w:rPr>
                <w:rFonts w:hint="eastAsia" w:ascii="宋体" w:hAnsi="宋体" w:eastAsia="宋体" w:cs="宋体"/>
              </w:rPr>
              <w:t>）</w:t>
            </w:r>
          </w:p>
        </w:tc>
      </w:tr>
      <w:tr w14:paraId="16730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7" w:type="dxa"/>
            <w:vAlign w:val="center"/>
          </w:tcPr>
          <w:p w14:paraId="4C4FD6E2">
            <w:pPr>
              <w:widowControl w:val="0"/>
              <w:jc w:val="center"/>
              <w:rPr>
                <w:rFonts w:hint="eastAsia" w:ascii="宋体" w:hAnsi="宋体" w:eastAsia="宋体" w:cs="宋体"/>
                <w:lang w:eastAsia="zh-CN"/>
              </w:rPr>
            </w:pPr>
            <w:r>
              <w:rPr>
                <w:rFonts w:hint="eastAsia" w:ascii="宋体" w:hAnsi="宋体" w:eastAsia="宋体" w:cs="宋体"/>
                <w:lang w:eastAsia="zh-CN"/>
              </w:rPr>
              <w:t>06</w:t>
            </w:r>
          </w:p>
        </w:tc>
        <w:tc>
          <w:tcPr>
            <w:tcW w:w="1760" w:type="dxa"/>
            <w:vAlign w:val="center"/>
          </w:tcPr>
          <w:p w14:paraId="2DF37F28">
            <w:pPr>
              <w:widowControl w:val="0"/>
              <w:jc w:val="center"/>
              <w:rPr>
                <w:rFonts w:hint="eastAsia" w:ascii="宋体" w:hAnsi="宋体" w:eastAsia="宋体" w:cs="宋体"/>
                <w:lang w:eastAsia="zh-CN"/>
              </w:rPr>
            </w:pPr>
            <w:r>
              <w:rPr>
                <w:rFonts w:hint="eastAsia" w:ascii="宋体" w:hAnsi="宋体" w:eastAsia="宋体" w:cs="宋体"/>
                <w:lang w:eastAsia="zh-CN"/>
              </w:rPr>
              <w:t>工</w:t>
            </w:r>
            <w:r>
              <w:rPr>
                <w:rFonts w:hint="eastAsia" w:ascii="宋体" w:hAnsi="宋体" w:eastAsia="宋体" w:cs="宋体"/>
                <w:lang w:val="en-US" w:eastAsia="zh-CN"/>
              </w:rPr>
              <w:t>矿</w:t>
            </w:r>
            <w:r>
              <w:rPr>
                <w:rFonts w:hint="eastAsia" w:ascii="宋体" w:hAnsi="宋体" w:eastAsia="宋体" w:cs="宋体"/>
                <w:lang w:eastAsia="zh-CN"/>
              </w:rPr>
              <w:t>用地</w:t>
            </w:r>
          </w:p>
        </w:tc>
        <w:tc>
          <w:tcPr>
            <w:tcW w:w="1257" w:type="dxa"/>
            <w:vAlign w:val="center"/>
          </w:tcPr>
          <w:p w14:paraId="71620050">
            <w:pPr>
              <w:widowControl w:val="0"/>
              <w:jc w:val="center"/>
              <w:rPr>
                <w:rFonts w:hint="eastAsia" w:ascii="宋体" w:hAnsi="宋体" w:eastAsia="宋体" w:cs="宋体"/>
                <w:lang w:eastAsia="zh-CN"/>
              </w:rPr>
            </w:pPr>
            <w:r>
              <w:rPr>
                <w:rFonts w:hint="eastAsia" w:ascii="宋体" w:hAnsi="宋体" w:eastAsia="宋体" w:cs="宋体"/>
                <w:lang w:eastAsia="zh-CN"/>
              </w:rPr>
              <w:t>0602</w:t>
            </w:r>
          </w:p>
        </w:tc>
        <w:tc>
          <w:tcPr>
            <w:tcW w:w="1456" w:type="dxa"/>
            <w:vAlign w:val="center"/>
          </w:tcPr>
          <w:p w14:paraId="57B2F4A6">
            <w:pPr>
              <w:widowControl w:val="0"/>
              <w:jc w:val="center"/>
              <w:rPr>
                <w:rFonts w:hint="eastAsia" w:ascii="宋体" w:hAnsi="宋体" w:eastAsia="宋体" w:cs="宋体"/>
                <w:lang w:eastAsia="zh-CN"/>
              </w:rPr>
            </w:pPr>
            <w:r>
              <w:rPr>
                <w:rFonts w:hint="eastAsia" w:ascii="宋体" w:hAnsi="宋体" w:eastAsia="宋体" w:cs="宋体"/>
                <w:lang w:eastAsia="zh-CN"/>
              </w:rPr>
              <w:t>采矿用地</w:t>
            </w:r>
          </w:p>
        </w:tc>
        <w:tc>
          <w:tcPr>
            <w:tcW w:w="2902" w:type="dxa"/>
            <w:vAlign w:val="center"/>
          </w:tcPr>
          <w:p w14:paraId="07605A40">
            <w:pPr>
              <w:widowControl w:val="0"/>
              <w:jc w:val="center"/>
              <w:rPr>
                <w:rFonts w:hint="default" w:ascii="宋体" w:hAnsi="宋体" w:eastAsia="宋体" w:cs="宋体"/>
                <w:lang w:val="en-US" w:eastAsia="zh-CN"/>
              </w:rPr>
            </w:pPr>
            <w:r>
              <w:rPr>
                <w:rFonts w:hint="eastAsia" w:ascii="宋体" w:hAnsi="宋体" w:eastAsia="宋体" w:cs="宋体"/>
                <w:lang w:val="en-US" w:eastAsia="zh-CN"/>
              </w:rPr>
              <w:t>4.84</w:t>
            </w:r>
          </w:p>
        </w:tc>
      </w:tr>
      <w:tr w14:paraId="607C9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7" w:type="dxa"/>
            <w:vAlign w:val="center"/>
          </w:tcPr>
          <w:p w14:paraId="564D469C">
            <w:pPr>
              <w:widowControl w:val="0"/>
              <w:jc w:val="center"/>
              <w:rPr>
                <w:rFonts w:hint="default" w:ascii="宋体" w:hAnsi="宋体" w:eastAsia="宋体" w:cs="宋体"/>
                <w:lang w:val="en-US" w:eastAsia="zh-CN"/>
              </w:rPr>
            </w:pPr>
            <w:r>
              <w:rPr>
                <w:rFonts w:hint="eastAsia" w:ascii="宋体" w:hAnsi="宋体" w:eastAsia="宋体" w:cs="宋体"/>
                <w:lang w:val="en-US" w:eastAsia="zh-CN"/>
              </w:rPr>
              <w:t>10</w:t>
            </w:r>
          </w:p>
        </w:tc>
        <w:tc>
          <w:tcPr>
            <w:tcW w:w="1760" w:type="dxa"/>
            <w:vAlign w:val="center"/>
          </w:tcPr>
          <w:p w14:paraId="6D9AAFC7">
            <w:pPr>
              <w:widowControl w:val="0"/>
              <w:jc w:val="center"/>
              <w:rPr>
                <w:rFonts w:hint="eastAsia" w:ascii="宋体" w:hAnsi="宋体" w:eastAsia="宋体" w:cs="宋体"/>
                <w:lang w:eastAsia="zh-CN"/>
              </w:rPr>
            </w:pPr>
            <w:r>
              <w:rPr>
                <w:rFonts w:hint="eastAsia" w:ascii="宋体" w:hAnsi="宋体" w:eastAsia="宋体" w:cs="宋体"/>
                <w:lang w:eastAsia="zh-CN"/>
              </w:rPr>
              <w:t>交通运输用地</w:t>
            </w:r>
          </w:p>
        </w:tc>
        <w:tc>
          <w:tcPr>
            <w:tcW w:w="1257" w:type="dxa"/>
            <w:vAlign w:val="center"/>
          </w:tcPr>
          <w:p w14:paraId="62564EB7">
            <w:pPr>
              <w:widowControl w:val="0"/>
              <w:jc w:val="center"/>
              <w:rPr>
                <w:rFonts w:hint="default" w:ascii="宋体" w:hAnsi="宋体" w:eastAsia="宋体" w:cs="宋体"/>
                <w:lang w:val="en-US" w:eastAsia="zh-CN"/>
              </w:rPr>
            </w:pPr>
            <w:r>
              <w:rPr>
                <w:rFonts w:hint="eastAsia" w:ascii="宋体" w:hAnsi="宋体" w:eastAsia="宋体" w:cs="宋体"/>
                <w:lang w:val="en-US" w:eastAsia="zh-CN"/>
              </w:rPr>
              <w:t>1006</w:t>
            </w:r>
          </w:p>
        </w:tc>
        <w:tc>
          <w:tcPr>
            <w:tcW w:w="1456" w:type="dxa"/>
            <w:vAlign w:val="center"/>
          </w:tcPr>
          <w:p w14:paraId="2416B233">
            <w:pPr>
              <w:widowControl w:val="0"/>
              <w:jc w:val="center"/>
              <w:rPr>
                <w:rFonts w:hint="eastAsia" w:ascii="宋体" w:hAnsi="宋体" w:eastAsia="宋体" w:cs="宋体"/>
                <w:lang w:eastAsia="zh-CN"/>
              </w:rPr>
            </w:pPr>
            <w:r>
              <w:rPr>
                <w:rFonts w:hint="eastAsia" w:ascii="宋体" w:hAnsi="宋体" w:eastAsia="宋体" w:cs="宋体"/>
                <w:lang w:eastAsia="zh-CN"/>
              </w:rPr>
              <w:t>农村道路</w:t>
            </w:r>
          </w:p>
        </w:tc>
        <w:tc>
          <w:tcPr>
            <w:tcW w:w="2902" w:type="dxa"/>
            <w:vAlign w:val="center"/>
          </w:tcPr>
          <w:p w14:paraId="15BF21B3">
            <w:pPr>
              <w:widowControl w:val="0"/>
              <w:jc w:val="center"/>
              <w:rPr>
                <w:rFonts w:hint="default" w:ascii="宋体" w:hAnsi="宋体" w:eastAsia="宋体" w:cs="宋体"/>
                <w:lang w:val="en-US" w:eastAsia="zh-CN"/>
              </w:rPr>
            </w:pPr>
            <w:r>
              <w:rPr>
                <w:rFonts w:hint="eastAsia" w:ascii="宋体" w:hAnsi="宋体" w:eastAsia="宋体" w:cs="宋体"/>
                <w:lang w:val="en-US" w:eastAsia="zh-CN"/>
              </w:rPr>
              <w:t>0.08</w:t>
            </w:r>
          </w:p>
        </w:tc>
      </w:tr>
      <w:tr w14:paraId="44A06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7" w:type="dxa"/>
            <w:vAlign w:val="center"/>
          </w:tcPr>
          <w:p w14:paraId="275FD469">
            <w:pPr>
              <w:widowControl w:val="0"/>
              <w:jc w:val="center"/>
              <w:rPr>
                <w:rFonts w:hint="eastAsia" w:ascii="宋体" w:hAnsi="宋体" w:eastAsia="宋体" w:cs="宋体"/>
                <w:lang w:eastAsia="zh-CN"/>
              </w:rPr>
            </w:pPr>
            <w:r>
              <w:rPr>
                <w:rFonts w:hint="eastAsia" w:ascii="宋体" w:hAnsi="宋体" w:eastAsia="宋体" w:cs="宋体"/>
                <w:lang w:eastAsia="zh-CN"/>
              </w:rPr>
              <w:t>12</w:t>
            </w:r>
          </w:p>
        </w:tc>
        <w:tc>
          <w:tcPr>
            <w:tcW w:w="1760" w:type="dxa"/>
            <w:vAlign w:val="center"/>
          </w:tcPr>
          <w:p w14:paraId="22649364">
            <w:pPr>
              <w:widowControl w:val="0"/>
              <w:jc w:val="center"/>
              <w:rPr>
                <w:rFonts w:hint="eastAsia" w:ascii="宋体" w:hAnsi="宋体" w:eastAsia="宋体" w:cs="宋体"/>
                <w:lang w:eastAsia="zh-CN"/>
              </w:rPr>
            </w:pPr>
            <w:r>
              <w:rPr>
                <w:rFonts w:hint="eastAsia" w:ascii="宋体" w:hAnsi="宋体" w:eastAsia="宋体" w:cs="宋体"/>
                <w:lang w:eastAsia="zh-CN"/>
              </w:rPr>
              <w:t>其他地类</w:t>
            </w:r>
          </w:p>
        </w:tc>
        <w:tc>
          <w:tcPr>
            <w:tcW w:w="1257" w:type="dxa"/>
            <w:vAlign w:val="center"/>
          </w:tcPr>
          <w:p w14:paraId="0777359A">
            <w:pPr>
              <w:widowControl w:val="0"/>
              <w:jc w:val="center"/>
              <w:rPr>
                <w:rFonts w:hint="default" w:ascii="宋体" w:hAnsi="宋体" w:eastAsia="宋体" w:cs="宋体"/>
                <w:lang w:val="en-US" w:eastAsia="zh-CN"/>
              </w:rPr>
            </w:pPr>
            <w:r>
              <w:rPr>
                <w:rFonts w:hint="eastAsia" w:ascii="宋体" w:hAnsi="宋体" w:eastAsia="宋体" w:cs="宋体"/>
                <w:lang w:eastAsia="zh-CN"/>
              </w:rPr>
              <w:t>12</w:t>
            </w:r>
            <w:r>
              <w:rPr>
                <w:rFonts w:hint="eastAsia" w:ascii="宋体" w:hAnsi="宋体" w:eastAsia="宋体" w:cs="宋体"/>
                <w:lang w:val="en-US" w:eastAsia="zh-CN"/>
              </w:rPr>
              <w:t>05</w:t>
            </w:r>
          </w:p>
        </w:tc>
        <w:tc>
          <w:tcPr>
            <w:tcW w:w="1456" w:type="dxa"/>
            <w:vAlign w:val="center"/>
          </w:tcPr>
          <w:p w14:paraId="0350195C">
            <w:pPr>
              <w:widowControl w:val="0"/>
              <w:jc w:val="center"/>
              <w:rPr>
                <w:rFonts w:hint="eastAsia" w:ascii="宋体" w:hAnsi="宋体" w:eastAsia="宋体" w:cs="宋体"/>
                <w:lang w:eastAsia="zh-CN"/>
              </w:rPr>
            </w:pPr>
            <w:r>
              <w:rPr>
                <w:rFonts w:hint="eastAsia" w:ascii="宋体" w:hAnsi="宋体" w:eastAsia="宋体" w:cs="宋体"/>
                <w:lang w:eastAsia="zh-CN"/>
              </w:rPr>
              <w:t>沙地</w:t>
            </w:r>
          </w:p>
        </w:tc>
        <w:tc>
          <w:tcPr>
            <w:tcW w:w="2902" w:type="dxa"/>
            <w:vAlign w:val="center"/>
          </w:tcPr>
          <w:p w14:paraId="32E98BAE">
            <w:pPr>
              <w:widowControl w:val="0"/>
              <w:jc w:val="center"/>
              <w:rPr>
                <w:rFonts w:hint="default" w:ascii="宋体" w:hAnsi="宋体" w:eastAsia="宋体" w:cs="宋体"/>
                <w:lang w:val="en-US" w:eastAsia="zh-CN"/>
              </w:rPr>
            </w:pPr>
            <w:r>
              <w:rPr>
                <w:rFonts w:hint="eastAsia" w:ascii="宋体" w:hAnsi="宋体" w:eastAsia="宋体" w:cs="宋体"/>
                <w:lang w:val="en-US" w:eastAsia="zh-CN"/>
              </w:rPr>
              <w:t>146.92</w:t>
            </w:r>
          </w:p>
        </w:tc>
      </w:tr>
      <w:tr w14:paraId="02C31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80" w:type="dxa"/>
            <w:gridSpan w:val="4"/>
            <w:vAlign w:val="center"/>
          </w:tcPr>
          <w:p w14:paraId="57B4AA89">
            <w:pPr>
              <w:widowControl w:val="0"/>
              <w:jc w:val="center"/>
              <w:rPr>
                <w:rFonts w:hint="eastAsia" w:ascii="宋体" w:hAnsi="宋体" w:eastAsia="宋体" w:cs="宋体"/>
              </w:rPr>
            </w:pPr>
            <w:r>
              <w:rPr>
                <w:rFonts w:hint="eastAsia" w:ascii="宋体" w:hAnsi="宋体" w:eastAsia="宋体" w:cs="宋体"/>
              </w:rPr>
              <w:t>合    计</w:t>
            </w:r>
          </w:p>
        </w:tc>
        <w:tc>
          <w:tcPr>
            <w:tcW w:w="2902" w:type="dxa"/>
            <w:vAlign w:val="center"/>
          </w:tcPr>
          <w:p w14:paraId="48FF3C8F">
            <w:pPr>
              <w:widowControl w:val="0"/>
              <w:jc w:val="center"/>
              <w:rPr>
                <w:rFonts w:hint="default" w:ascii="宋体" w:hAnsi="宋体" w:eastAsia="宋体" w:cs="宋体"/>
                <w:lang w:val="en-US" w:eastAsia="zh-CN"/>
              </w:rPr>
            </w:pPr>
            <w:r>
              <w:rPr>
                <w:rFonts w:hint="eastAsia" w:ascii="宋体" w:hAnsi="宋体" w:eastAsia="宋体" w:cs="宋体"/>
                <w:lang w:val="en-US" w:eastAsia="zh-CN"/>
              </w:rPr>
              <w:t>151.84</w:t>
            </w:r>
          </w:p>
        </w:tc>
      </w:tr>
    </w:tbl>
    <w:p w14:paraId="126D6BF4">
      <w:pPr>
        <w:jc w:val="center"/>
        <w:rPr>
          <w:rFonts w:hint="eastAsia" w:ascii="宋体" w:hAnsi="宋体" w:eastAsia="宋体" w:cs="宋体"/>
          <w:b/>
          <w:bCs/>
          <w:szCs w:val="24"/>
          <w:lang w:eastAsia="zh-CN"/>
        </w:rPr>
      </w:pPr>
      <w:r>
        <w:rPr>
          <w:rFonts w:hint="eastAsia" w:ascii="宋体" w:hAnsi="宋体" w:eastAsia="宋体" w:cs="宋体"/>
          <w:b/>
          <w:bCs/>
          <w:szCs w:val="24"/>
          <w:lang w:eastAsia="zh-CN"/>
        </w:rPr>
        <w:t>表2-4  土地利用权属表（面积hm</w:t>
      </w:r>
      <w:r>
        <w:rPr>
          <w:rFonts w:hint="eastAsia" w:ascii="宋体" w:hAnsi="宋体" w:eastAsia="宋体" w:cs="宋体"/>
          <w:b/>
          <w:bCs/>
          <w:szCs w:val="24"/>
          <w:vertAlign w:val="superscript"/>
          <w:lang w:eastAsia="zh-CN"/>
        </w:rPr>
        <w:t>2</w:t>
      </w:r>
      <w:r>
        <w:rPr>
          <w:rFonts w:hint="eastAsia" w:ascii="宋体" w:hAnsi="宋体" w:eastAsia="宋体" w:cs="宋体"/>
          <w:b/>
          <w:bCs/>
          <w:szCs w:val="24"/>
          <w:lang w:eastAsia="zh-CN"/>
        </w:rPr>
        <w:t>）</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243"/>
        <w:gridCol w:w="753"/>
        <w:gridCol w:w="1740"/>
        <w:gridCol w:w="1815"/>
        <w:gridCol w:w="1600"/>
      </w:tblGrid>
      <w:tr w14:paraId="5035FC9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2996" w:type="dxa"/>
            <w:gridSpan w:val="2"/>
            <w:vMerge w:val="restart"/>
            <w:vAlign w:val="center"/>
          </w:tcPr>
          <w:p w14:paraId="0AD3212D">
            <w:pPr>
              <w:jc w:val="center"/>
              <w:rPr>
                <w:rFonts w:hint="eastAsia" w:ascii="宋体" w:hAnsi="宋体" w:eastAsia="宋体" w:cs="宋体"/>
              </w:rPr>
            </w:pPr>
            <w:r>
              <w:rPr>
                <w:rFonts w:hint="eastAsia" w:ascii="宋体" w:hAnsi="宋体" w:eastAsia="宋体" w:cs="宋体"/>
              </w:rPr>
              <w:t>权属</w:t>
            </w:r>
          </w:p>
        </w:tc>
        <w:tc>
          <w:tcPr>
            <w:tcW w:w="5155" w:type="dxa"/>
            <w:gridSpan w:val="3"/>
            <w:vAlign w:val="center"/>
          </w:tcPr>
          <w:p w14:paraId="60AC61EF">
            <w:pPr>
              <w:jc w:val="center"/>
              <w:rPr>
                <w:rFonts w:hint="eastAsia" w:ascii="宋体" w:hAnsi="宋体" w:eastAsia="宋体" w:cs="宋体"/>
              </w:rPr>
            </w:pPr>
            <w:r>
              <w:rPr>
                <w:rFonts w:hint="eastAsia" w:ascii="宋体" w:hAnsi="宋体" w:eastAsia="宋体" w:cs="宋体"/>
              </w:rPr>
              <w:t>地类面积（hm</w:t>
            </w:r>
            <w:r>
              <w:rPr>
                <w:rFonts w:hint="eastAsia" w:ascii="宋体" w:hAnsi="宋体" w:eastAsia="宋体" w:cs="宋体"/>
                <w:vertAlign w:val="superscript"/>
              </w:rPr>
              <w:t>2</w:t>
            </w:r>
            <w:r>
              <w:rPr>
                <w:rFonts w:hint="eastAsia" w:ascii="宋体" w:hAnsi="宋体" w:eastAsia="宋体" w:cs="宋体"/>
              </w:rPr>
              <w:t>）</w:t>
            </w:r>
          </w:p>
        </w:tc>
      </w:tr>
      <w:tr w14:paraId="3C66102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2996" w:type="dxa"/>
            <w:gridSpan w:val="2"/>
            <w:vMerge w:val="continue"/>
            <w:vAlign w:val="center"/>
          </w:tcPr>
          <w:p w14:paraId="42273259">
            <w:pPr>
              <w:jc w:val="center"/>
              <w:rPr>
                <w:rFonts w:hint="eastAsia" w:ascii="宋体" w:hAnsi="宋体" w:eastAsia="宋体" w:cs="宋体"/>
              </w:rPr>
            </w:pPr>
          </w:p>
        </w:tc>
        <w:tc>
          <w:tcPr>
            <w:tcW w:w="1740" w:type="dxa"/>
            <w:tcBorders>
              <w:right w:val="single" w:color="auto" w:sz="4" w:space="0"/>
            </w:tcBorders>
            <w:vAlign w:val="center"/>
          </w:tcPr>
          <w:p w14:paraId="74C35AD8">
            <w:pPr>
              <w:jc w:val="center"/>
              <w:rPr>
                <w:rFonts w:hint="eastAsia" w:ascii="宋体" w:hAnsi="宋体" w:eastAsia="宋体" w:cs="宋体"/>
                <w:lang w:eastAsia="zh-CN"/>
              </w:rPr>
            </w:pPr>
            <w:r>
              <w:rPr>
                <w:rFonts w:hint="eastAsia" w:ascii="宋体" w:hAnsi="宋体" w:eastAsia="宋体" w:cs="宋体"/>
                <w:lang w:eastAsia="zh-CN"/>
              </w:rPr>
              <w:t>06工矿用地</w:t>
            </w:r>
          </w:p>
        </w:tc>
        <w:tc>
          <w:tcPr>
            <w:tcW w:w="1815" w:type="dxa"/>
            <w:tcBorders>
              <w:left w:val="single" w:color="auto" w:sz="4" w:space="0"/>
              <w:right w:val="single" w:color="auto" w:sz="4" w:space="0"/>
            </w:tcBorders>
            <w:vAlign w:val="center"/>
          </w:tcPr>
          <w:p w14:paraId="0580FA7F">
            <w:pPr>
              <w:jc w:val="center"/>
              <w:rPr>
                <w:rFonts w:hint="eastAsia" w:ascii="宋体" w:hAnsi="宋体" w:eastAsia="宋体" w:cs="宋体"/>
                <w:lang w:eastAsia="zh-CN"/>
              </w:rPr>
            </w:pPr>
            <w:r>
              <w:rPr>
                <w:rFonts w:hint="eastAsia" w:ascii="宋体" w:hAnsi="宋体" w:eastAsia="宋体" w:cs="宋体"/>
                <w:lang w:eastAsia="zh-CN"/>
              </w:rPr>
              <w:t>1</w:t>
            </w:r>
            <w:r>
              <w:rPr>
                <w:rFonts w:hint="eastAsia" w:ascii="宋体" w:hAnsi="宋体" w:eastAsia="宋体" w:cs="宋体"/>
                <w:lang w:val="en-US" w:eastAsia="zh-CN"/>
              </w:rPr>
              <w:t>0</w:t>
            </w:r>
            <w:r>
              <w:rPr>
                <w:rFonts w:hint="eastAsia" w:ascii="宋体" w:hAnsi="宋体" w:eastAsia="宋体" w:cs="宋体"/>
                <w:lang w:eastAsia="zh-CN"/>
              </w:rPr>
              <w:t>交通运输用地</w:t>
            </w:r>
          </w:p>
        </w:tc>
        <w:tc>
          <w:tcPr>
            <w:tcW w:w="1600" w:type="dxa"/>
            <w:tcBorders>
              <w:left w:val="single" w:color="auto" w:sz="4" w:space="0"/>
            </w:tcBorders>
            <w:vAlign w:val="center"/>
          </w:tcPr>
          <w:p w14:paraId="40168E83">
            <w:pPr>
              <w:jc w:val="center"/>
              <w:rPr>
                <w:rFonts w:hint="eastAsia" w:ascii="宋体" w:hAnsi="宋体" w:eastAsia="宋体" w:cs="宋体"/>
                <w:lang w:eastAsia="zh-CN"/>
              </w:rPr>
            </w:pPr>
            <w:r>
              <w:rPr>
                <w:rFonts w:hint="eastAsia" w:ascii="宋体" w:hAnsi="宋体" w:eastAsia="宋体" w:cs="宋体"/>
                <w:lang w:eastAsia="zh-CN"/>
              </w:rPr>
              <w:t>12其他用地</w:t>
            </w:r>
          </w:p>
        </w:tc>
      </w:tr>
      <w:tr w14:paraId="34A34E4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2996" w:type="dxa"/>
            <w:gridSpan w:val="2"/>
            <w:vMerge w:val="continue"/>
            <w:vAlign w:val="center"/>
          </w:tcPr>
          <w:p w14:paraId="32869CD5">
            <w:pPr>
              <w:jc w:val="center"/>
              <w:rPr>
                <w:rFonts w:hint="eastAsia" w:ascii="宋体" w:hAnsi="宋体" w:eastAsia="宋体" w:cs="宋体"/>
              </w:rPr>
            </w:pPr>
          </w:p>
        </w:tc>
        <w:tc>
          <w:tcPr>
            <w:tcW w:w="1740" w:type="dxa"/>
            <w:tcBorders>
              <w:right w:val="single" w:color="auto" w:sz="4" w:space="0"/>
            </w:tcBorders>
            <w:vAlign w:val="center"/>
          </w:tcPr>
          <w:p w14:paraId="713B6A19">
            <w:pPr>
              <w:jc w:val="center"/>
              <w:rPr>
                <w:rFonts w:hint="eastAsia" w:ascii="宋体" w:hAnsi="宋体" w:eastAsia="宋体" w:cs="宋体"/>
                <w:lang w:eastAsia="zh-CN"/>
              </w:rPr>
            </w:pPr>
            <w:r>
              <w:rPr>
                <w:rFonts w:hint="eastAsia" w:ascii="宋体" w:hAnsi="宋体" w:eastAsia="宋体" w:cs="宋体"/>
                <w:lang w:eastAsia="zh-CN"/>
              </w:rPr>
              <w:t>0602采矿用地</w:t>
            </w:r>
          </w:p>
        </w:tc>
        <w:tc>
          <w:tcPr>
            <w:tcW w:w="1815" w:type="dxa"/>
            <w:tcBorders>
              <w:left w:val="single" w:color="auto" w:sz="4" w:space="0"/>
              <w:right w:val="single" w:color="auto" w:sz="4" w:space="0"/>
            </w:tcBorders>
            <w:vAlign w:val="center"/>
          </w:tcPr>
          <w:p w14:paraId="0F622F4E">
            <w:pPr>
              <w:jc w:val="center"/>
              <w:rPr>
                <w:rFonts w:hint="eastAsia" w:ascii="宋体" w:hAnsi="宋体" w:eastAsia="宋体" w:cs="宋体"/>
                <w:lang w:eastAsia="zh-CN"/>
              </w:rPr>
            </w:pPr>
            <w:r>
              <w:rPr>
                <w:rFonts w:hint="eastAsia" w:ascii="宋体" w:hAnsi="宋体" w:eastAsia="宋体" w:cs="宋体"/>
                <w:lang w:eastAsia="zh-CN"/>
              </w:rPr>
              <w:t>1</w:t>
            </w:r>
            <w:r>
              <w:rPr>
                <w:rFonts w:hint="eastAsia" w:ascii="宋体" w:hAnsi="宋体" w:eastAsia="宋体" w:cs="宋体"/>
                <w:lang w:val="en-US" w:eastAsia="zh-CN"/>
              </w:rPr>
              <w:t>0</w:t>
            </w:r>
            <w:r>
              <w:rPr>
                <w:rFonts w:hint="eastAsia" w:ascii="宋体" w:hAnsi="宋体" w:eastAsia="宋体" w:cs="宋体"/>
                <w:lang w:eastAsia="zh-CN"/>
              </w:rPr>
              <w:t>0</w:t>
            </w:r>
            <w:r>
              <w:rPr>
                <w:rFonts w:hint="eastAsia" w:ascii="宋体" w:hAnsi="宋体" w:eastAsia="宋体" w:cs="宋体"/>
                <w:lang w:val="en-US" w:eastAsia="zh-CN"/>
              </w:rPr>
              <w:t>6</w:t>
            </w:r>
            <w:r>
              <w:rPr>
                <w:rFonts w:hint="eastAsia" w:ascii="宋体" w:hAnsi="宋体" w:eastAsia="宋体" w:cs="宋体"/>
                <w:lang w:eastAsia="zh-CN"/>
              </w:rPr>
              <w:t>农村道路</w:t>
            </w:r>
          </w:p>
        </w:tc>
        <w:tc>
          <w:tcPr>
            <w:tcW w:w="1600" w:type="dxa"/>
            <w:tcBorders>
              <w:left w:val="single" w:color="auto" w:sz="4" w:space="0"/>
            </w:tcBorders>
            <w:vAlign w:val="center"/>
          </w:tcPr>
          <w:p w14:paraId="44BD7E4E">
            <w:pPr>
              <w:jc w:val="center"/>
              <w:rPr>
                <w:rFonts w:hint="eastAsia" w:ascii="宋体" w:hAnsi="宋体" w:eastAsia="宋体" w:cs="宋体"/>
                <w:lang w:eastAsia="zh-CN"/>
              </w:rPr>
            </w:pPr>
            <w:r>
              <w:rPr>
                <w:rFonts w:hint="eastAsia" w:ascii="宋体" w:hAnsi="宋体" w:eastAsia="宋体" w:cs="宋体"/>
                <w:lang w:eastAsia="zh-CN"/>
              </w:rPr>
              <w:t>120</w:t>
            </w:r>
            <w:r>
              <w:rPr>
                <w:rFonts w:hint="eastAsia" w:ascii="宋体" w:hAnsi="宋体" w:eastAsia="宋体" w:cs="宋体"/>
                <w:lang w:val="en-US" w:eastAsia="zh-CN"/>
              </w:rPr>
              <w:t>5沙地</w:t>
            </w:r>
          </w:p>
        </w:tc>
      </w:tr>
      <w:tr w14:paraId="7F44A8D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2243" w:type="dxa"/>
            <w:tcBorders>
              <w:bottom w:val="single" w:color="auto" w:sz="4" w:space="0"/>
            </w:tcBorders>
            <w:vAlign w:val="center"/>
          </w:tcPr>
          <w:p w14:paraId="77FFC340">
            <w:pPr>
              <w:jc w:val="center"/>
              <w:rPr>
                <w:rFonts w:hint="eastAsia" w:ascii="宋体" w:hAnsi="宋体" w:eastAsia="宋体" w:cs="宋体"/>
                <w:lang w:eastAsia="zh-CN"/>
              </w:rPr>
            </w:pPr>
            <w:r>
              <w:rPr>
                <w:rFonts w:hint="eastAsia" w:ascii="宋体" w:hAnsi="宋体" w:eastAsia="宋体" w:cs="宋体"/>
                <w:lang w:eastAsia="zh-CN"/>
              </w:rPr>
              <w:t>格尔木市郭勒木德镇</w:t>
            </w:r>
          </w:p>
        </w:tc>
        <w:tc>
          <w:tcPr>
            <w:tcW w:w="753" w:type="dxa"/>
            <w:tcBorders>
              <w:bottom w:val="single" w:color="auto" w:sz="4" w:space="0"/>
            </w:tcBorders>
            <w:vAlign w:val="center"/>
          </w:tcPr>
          <w:p w14:paraId="29F261F1">
            <w:pPr>
              <w:jc w:val="center"/>
              <w:rPr>
                <w:rFonts w:hint="eastAsia" w:ascii="宋体" w:hAnsi="宋体" w:eastAsia="宋体" w:cs="宋体"/>
              </w:rPr>
            </w:pPr>
            <w:r>
              <w:rPr>
                <w:rFonts w:hint="eastAsia" w:ascii="宋体" w:hAnsi="宋体" w:eastAsia="宋体" w:cs="宋体"/>
              </w:rPr>
              <w:t>国有</w:t>
            </w:r>
          </w:p>
        </w:tc>
        <w:tc>
          <w:tcPr>
            <w:tcW w:w="1740" w:type="dxa"/>
            <w:tcBorders>
              <w:bottom w:val="single" w:color="auto" w:sz="4" w:space="0"/>
              <w:right w:val="single" w:color="auto" w:sz="4" w:space="0"/>
            </w:tcBorders>
            <w:vAlign w:val="center"/>
          </w:tcPr>
          <w:p w14:paraId="52A41F69">
            <w:pPr>
              <w:jc w:val="center"/>
              <w:rPr>
                <w:rFonts w:hint="default" w:ascii="宋体" w:hAnsi="宋体" w:eastAsia="宋体" w:cs="宋体"/>
                <w:lang w:val="en-US" w:eastAsia="zh-CN"/>
              </w:rPr>
            </w:pPr>
            <w:r>
              <w:rPr>
                <w:rFonts w:hint="eastAsia" w:ascii="宋体" w:hAnsi="宋体" w:eastAsia="宋体" w:cs="宋体"/>
                <w:lang w:val="en-US" w:eastAsia="zh-CN"/>
              </w:rPr>
              <w:t>4.84</w:t>
            </w:r>
          </w:p>
        </w:tc>
        <w:tc>
          <w:tcPr>
            <w:tcW w:w="1815" w:type="dxa"/>
            <w:tcBorders>
              <w:left w:val="single" w:color="auto" w:sz="4" w:space="0"/>
              <w:bottom w:val="single" w:color="auto" w:sz="4" w:space="0"/>
              <w:right w:val="single" w:color="auto" w:sz="4" w:space="0"/>
            </w:tcBorders>
            <w:vAlign w:val="center"/>
          </w:tcPr>
          <w:p w14:paraId="7D55D635">
            <w:pPr>
              <w:jc w:val="center"/>
              <w:rPr>
                <w:rFonts w:hint="default" w:ascii="宋体" w:hAnsi="宋体" w:eastAsia="宋体" w:cs="宋体"/>
                <w:lang w:val="en-US" w:eastAsia="zh-CN"/>
              </w:rPr>
            </w:pPr>
            <w:r>
              <w:rPr>
                <w:rFonts w:hint="eastAsia" w:ascii="宋体" w:hAnsi="宋体" w:eastAsia="宋体" w:cs="宋体"/>
                <w:lang w:val="en-US" w:eastAsia="zh-CN"/>
              </w:rPr>
              <w:t>0.08</w:t>
            </w:r>
          </w:p>
        </w:tc>
        <w:tc>
          <w:tcPr>
            <w:tcW w:w="1600" w:type="dxa"/>
            <w:tcBorders>
              <w:left w:val="single" w:color="auto" w:sz="4" w:space="0"/>
              <w:bottom w:val="single" w:color="auto" w:sz="4" w:space="0"/>
            </w:tcBorders>
            <w:vAlign w:val="center"/>
          </w:tcPr>
          <w:p w14:paraId="6107B201">
            <w:pPr>
              <w:jc w:val="center"/>
              <w:rPr>
                <w:rFonts w:hint="default" w:ascii="宋体" w:hAnsi="宋体" w:eastAsia="宋体" w:cs="宋体"/>
                <w:lang w:val="en-US" w:eastAsia="zh-CN"/>
              </w:rPr>
            </w:pPr>
            <w:r>
              <w:rPr>
                <w:rFonts w:hint="eastAsia" w:ascii="宋体" w:hAnsi="宋体" w:eastAsia="宋体" w:cs="宋体"/>
                <w:lang w:val="en-US" w:eastAsia="zh-CN"/>
              </w:rPr>
              <w:t>146.92</w:t>
            </w:r>
          </w:p>
        </w:tc>
      </w:tr>
      <w:tr w14:paraId="74FB8AF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2996" w:type="dxa"/>
            <w:gridSpan w:val="2"/>
            <w:tcBorders>
              <w:top w:val="single" w:color="auto" w:sz="4" w:space="0"/>
            </w:tcBorders>
            <w:vAlign w:val="center"/>
          </w:tcPr>
          <w:p w14:paraId="080EA0E5">
            <w:pPr>
              <w:ind w:firstLine="420"/>
              <w:jc w:val="center"/>
              <w:rPr>
                <w:rFonts w:hint="eastAsia" w:ascii="宋体" w:hAnsi="宋体" w:eastAsia="宋体" w:cs="宋体"/>
              </w:rPr>
            </w:pPr>
            <w:r>
              <w:rPr>
                <w:rFonts w:hint="eastAsia" w:ascii="宋体" w:hAnsi="宋体" w:eastAsia="宋体" w:cs="宋体"/>
              </w:rPr>
              <w:t>合计</w:t>
            </w:r>
          </w:p>
        </w:tc>
        <w:tc>
          <w:tcPr>
            <w:tcW w:w="5155" w:type="dxa"/>
            <w:gridSpan w:val="3"/>
            <w:tcBorders>
              <w:top w:val="single" w:color="auto" w:sz="4" w:space="0"/>
            </w:tcBorders>
            <w:vAlign w:val="center"/>
          </w:tcPr>
          <w:p w14:paraId="343F21AC">
            <w:pPr>
              <w:jc w:val="center"/>
              <w:rPr>
                <w:rFonts w:hint="default" w:ascii="宋体" w:hAnsi="宋体" w:eastAsia="宋体" w:cs="宋体"/>
                <w:lang w:val="en-US" w:eastAsia="zh-CN"/>
              </w:rPr>
            </w:pPr>
            <w:r>
              <w:rPr>
                <w:rFonts w:hint="eastAsia" w:ascii="宋体" w:hAnsi="宋体" w:eastAsia="宋体" w:cs="宋体"/>
                <w:lang w:val="en-US" w:eastAsia="zh-CN"/>
              </w:rPr>
              <w:t>151.84</w:t>
            </w:r>
          </w:p>
        </w:tc>
      </w:tr>
    </w:tbl>
    <w:p w14:paraId="710F0A82">
      <w:pPr>
        <w:widowControl w:val="0"/>
        <w:kinsoku/>
        <w:adjustRightInd/>
        <w:snapToGrid/>
        <w:ind w:firstLine="456" w:firstLineChars="200"/>
        <w:jc w:val="both"/>
        <w:rPr>
          <w:lang w:eastAsia="zh-CN"/>
        </w:rPr>
      </w:pPr>
      <w:r>
        <w:rPr>
          <w:rFonts w:hint="eastAsia" w:ascii="宋体" w:hAnsi="宋体" w:eastAsia="宋体" w:cs="宋体"/>
          <w:spacing w:val="9"/>
          <w:lang w:eastAsia="zh-CN"/>
        </w:rPr>
        <w:t>注：1.表中地类名称及统计口径应与国家公布的第三次全国国土调查和年度国土变更调查成果一致</w:t>
      </w:r>
      <w:r>
        <w:rPr>
          <w:rFonts w:ascii="仿宋" w:hAnsi="仿宋" w:eastAsia="仿宋" w:cs="仿宋"/>
          <w:spacing w:val="9"/>
          <w:lang w:eastAsia="zh-CN"/>
        </w:rPr>
        <w:t>。</w:t>
      </w:r>
      <w:bookmarkStart w:id="66" w:name="bookmark251"/>
      <w:bookmarkEnd w:id="66"/>
    </w:p>
    <w:p w14:paraId="691302E7">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67" w:name="_Toc21695"/>
      <w:r>
        <w:rPr>
          <w:rFonts w:hint="eastAsia" w:ascii="宋体" w:hAnsi="宋体" w:eastAsia="宋体" w:cs="宋体"/>
          <w:sz w:val="28"/>
          <w:szCs w:val="28"/>
          <w:lang w:eastAsia="zh-CN"/>
        </w:rPr>
        <w:t>（二）采矿用地审批情况</w:t>
      </w:r>
      <w:bookmarkEnd w:id="67"/>
    </w:p>
    <w:p w14:paraId="1963447E">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格尔木市茶格高速南建筑用砂2#矿，由格尔木投资控股有限公司2021年1月29日首次取得采矿许可证，</w:t>
      </w:r>
      <w:r>
        <w:rPr>
          <w:rFonts w:hint="eastAsia" w:ascii="宋体" w:hAnsi="宋体" w:eastAsia="宋体" w:cs="宋体"/>
          <w:sz w:val="28"/>
          <w:szCs w:val="28"/>
          <w:lang w:val="en-US" w:eastAsia="zh-CN"/>
        </w:rPr>
        <w:t>2024年1月进行了采矿证延续,现采矿许可证号为C6328012021017100151367,有限期限为3年,自2024年1月29至2027年1月29日。</w:t>
      </w:r>
    </w:p>
    <w:p w14:paraId="104750D2">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68" w:name="_Toc27885"/>
      <w:r>
        <w:rPr>
          <w:rFonts w:hint="eastAsia" w:ascii="宋体" w:hAnsi="宋体" w:eastAsia="宋体" w:cs="宋体"/>
          <w:sz w:val="30"/>
          <w:szCs w:val="30"/>
          <w:lang w:eastAsia="zh-CN"/>
        </w:rPr>
        <w:t>五、矿区生态状况</w:t>
      </w:r>
      <w:bookmarkEnd w:id="68"/>
    </w:p>
    <w:p w14:paraId="1AF440DD">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69" w:name="_Toc32691"/>
      <w:r>
        <w:rPr>
          <w:rFonts w:hint="eastAsia" w:ascii="宋体" w:hAnsi="宋体" w:eastAsia="宋体" w:cs="宋体"/>
          <w:sz w:val="28"/>
          <w:szCs w:val="28"/>
          <w:lang w:eastAsia="zh-CN"/>
        </w:rPr>
        <w:t>（一）生态本底状况</w:t>
      </w:r>
      <w:bookmarkEnd w:id="69"/>
    </w:p>
    <w:p w14:paraId="27691715">
      <w:pPr>
        <w:keepNext w:val="0"/>
        <w:keepLines w:val="0"/>
        <w:pageBreakBefore w:val="0"/>
        <w:widowControl w:val="0"/>
        <w:kinsoku/>
        <w:wordWrap/>
        <w:overflowPunct w:val="0"/>
        <w:topLinePunct w:val="0"/>
        <w:autoSpaceDE/>
        <w:autoSpaceDN/>
        <w:bidi w:val="0"/>
        <w:adjustRightInd/>
        <w:snapToGrid/>
        <w:spacing w:line="360" w:lineRule="auto"/>
        <w:ind w:firstLine="568" w:firstLineChars="200"/>
        <w:jc w:val="both"/>
        <w:textAlignment w:val="baseline"/>
        <w:rPr>
          <w:rFonts w:hint="eastAsia" w:ascii="宋体" w:hAnsi="宋体" w:eastAsia="宋体" w:cs="宋体"/>
          <w:spacing w:val="2"/>
          <w:sz w:val="28"/>
          <w:szCs w:val="28"/>
          <w:lang w:eastAsia="zh-CN"/>
        </w:rPr>
      </w:pPr>
      <w:r>
        <w:rPr>
          <w:rFonts w:ascii="宋体" w:hAnsi="宋体" w:eastAsia="宋体" w:cs="宋体"/>
          <w:spacing w:val="2"/>
          <w:sz w:val="28"/>
          <w:szCs w:val="28"/>
          <w:lang w:eastAsia="zh-CN"/>
        </w:rPr>
        <w:t>1、自然地理特征</w:t>
      </w:r>
    </w:p>
    <w:p w14:paraId="6DAA43CA">
      <w:pPr>
        <w:keepNext w:val="0"/>
        <w:keepLines w:val="0"/>
        <w:pageBreakBefore w:val="0"/>
        <w:widowControl w:val="0"/>
        <w:kinsoku/>
        <w:wordWrap/>
        <w:overflowPunct w:val="0"/>
        <w:topLinePunct w:val="0"/>
        <w:autoSpaceDE/>
        <w:autoSpaceDN/>
        <w:bidi w:val="0"/>
        <w:adjustRightInd/>
        <w:snapToGrid/>
        <w:spacing w:line="360" w:lineRule="auto"/>
        <w:ind w:firstLine="560" w:firstLineChars="200"/>
        <w:jc w:val="both"/>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eastAsia="zh-CN"/>
        </w:rPr>
        <w:t>矿区属典型的大陆性高原气候</w:t>
      </w:r>
      <w:r>
        <w:rPr>
          <w:rFonts w:hint="eastAsia" w:ascii="宋体" w:hAnsi="宋体" w:eastAsia="宋体" w:cs="宋体"/>
          <w:sz w:val="28"/>
          <w:szCs w:val="28"/>
          <w:lang w:val="en-US" w:eastAsia="zh-CN"/>
        </w:rPr>
        <w:t>,具有干燥气压低、日温差大、日照时间长、太阳辐射强、降水量小、蒸发量大、风沙大等特点。年平均温度为4.2℃，年平均最高温度为9.1℃，年平均最低温度为-6℃，年最冷月份平均温度（1月）为-10.7℃，年最热月份平均温度（7～8月）为17.2℃，极端最高温度为34.6℃，极端最低温度为-26.5℃</w:t>
      </w:r>
      <w:r>
        <w:rPr>
          <w:rFonts w:hint="eastAsia" w:ascii="宋体" w:hAnsi="宋体" w:eastAsia="宋体" w:cs="宋体"/>
          <w:spacing w:val="2"/>
          <w:sz w:val="28"/>
          <w:szCs w:val="28"/>
          <w:lang w:eastAsia="zh-CN"/>
        </w:rPr>
        <w:t>。</w:t>
      </w:r>
    </w:p>
    <w:p w14:paraId="7E74D437">
      <w:pPr>
        <w:keepNext w:val="0"/>
        <w:keepLines w:val="0"/>
        <w:pageBreakBefore w:val="0"/>
        <w:widowControl w:val="0"/>
        <w:kinsoku/>
        <w:wordWrap/>
        <w:overflowPunct w:val="0"/>
        <w:topLinePunct w:val="0"/>
        <w:autoSpaceDE/>
        <w:autoSpaceDN/>
        <w:bidi w:val="0"/>
        <w:adjustRightInd/>
        <w:snapToGrid/>
        <w:spacing w:line="360" w:lineRule="auto"/>
        <w:ind w:firstLine="568" w:firstLineChars="200"/>
        <w:jc w:val="both"/>
        <w:textAlignment w:val="baseline"/>
        <w:rPr>
          <w:rFonts w:hint="eastAsia" w:ascii="宋体" w:hAnsi="宋体" w:eastAsia="宋体" w:cs="宋体"/>
          <w:spacing w:val="2"/>
          <w:sz w:val="28"/>
          <w:szCs w:val="28"/>
          <w:lang w:eastAsia="zh-CN"/>
        </w:rPr>
      </w:pPr>
      <w:r>
        <w:rPr>
          <w:rFonts w:ascii="宋体" w:hAnsi="宋体" w:eastAsia="宋体" w:cs="宋体"/>
          <w:spacing w:val="2"/>
          <w:sz w:val="28"/>
          <w:szCs w:val="28"/>
          <w:lang w:eastAsia="zh-CN"/>
        </w:rPr>
        <w:t>2、生态系统类型与结构</w:t>
      </w:r>
    </w:p>
    <w:p w14:paraId="054523A2">
      <w:pPr>
        <w:keepNext w:val="0"/>
        <w:keepLines w:val="0"/>
        <w:pageBreakBefore w:val="0"/>
        <w:widowControl w:val="0"/>
        <w:kinsoku/>
        <w:wordWrap/>
        <w:overflowPunct w:val="0"/>
        <w:topLinePunct w:val="0"/>
        <w:autoSpaceDE/>
        <w:autoSpaceDN/>
        <w:bidi w:val="0"/>
        <w:adjustRightInd/>
        <w:snapToGrid/>
        <w:spacing w:line="360" w:lineRule="auto"/>
        <w:ind w:firstLine="568" w:firstLineChars="200"/>
        <w:jc w:val="both"/>
        <w:textAlignment w:val="baseline"/>
        <w:rPr>
          <w:rFonts w:ascii="宋体" w:hAnsi="宋体" w:eastAsia="宋体" w:cs="宋体"/>
          <w:spacing w:val="2"/>
          <w:sz w:val="28"/>
          <w:szCs w:val="28"/>
          <w:lang w:eastAsia="zh-CN"/>
        </w:rPr>
      </w:pPr>
      <w:r>
        <w:rPr>
          <w:rFonts w:hint="eastAsia" w:ascii="宋体" w:hAnsi="宋体" w:eastAsia="宋体" w:cs="宋体"/>
          <w:spacing w:val="2"/>
          <w:sz w:val="28"/>
          <w:szCs w:val="28"/>
          <w:lang w:eastAsia="zh-CN"/>
        </w:rPr>
        <w:t>植被覆盖：地表土壤形成于干燥剥蚀条件下，土体干燥，表层细土物质多受风力作用搬运，土层浅薄，有机质积累少，成壤作用微弱，表层有机质仅有0.26-0.82%。由于矿区所处地区干旱缺水，地表土壤肥力低下，地表无植被覆盖。</w:t>
      </w:r>
    </w:p>
    <w:p w14:paraId="697B7C46">
      <w:pPr>
        <w:keepNext w:val="0"/>
        <w:keepLines w:val="0"/>
        <w:pageBreakBefore w:val="0"/>
        <w:widowControl w:val="0"/>
        <w:kinsoku/>
        <w:wordWrap/>
        <w:overflowPunct w:val="0"/>
        <w:topLinePunct w:val="0"/>
        <w:autoSpaceDE/>
        <w:autoSpaceDN/>
        <w:bidi w:val="0"/>
        <w:adjustRightInd/>
        <w:snapToGrid/>
        <w:spacing w:line="360" w:lineRule="auto"/>
        <w:ind w:firstLine="568" w:firstLineChars="200"/>
        <w:jc w:val="both"/>
        <w:textAlignment w:val="baseline"/>
        <w:rPr>
          <w:rFonts w:hint="eastAsia" w:ascii="宋体" w:hAnsi="宋体" w:eastAsia="宋体" w:cs="宋体"/>
          <w:spacing w:val="2"/>
          <w:sz w:val="28"/>
          <w:szCs w:val="28"/>
          <w:lang w:eastAsia="zh-CN"/>
        </w:rPr>
      </w:pPr>
      <w:r>
        <w:rPr>
          <w:rFonts w:hint="eastAsia" w:ascii="宋体" w:hAnsi="宋体" w:eastAsia="宋体" w:cs="宋体"/>
          <w:spacing w:val="2"/>
          <w:sz w:val="28"/>
          <w:szCs w:val="28"/>
          <w:lang w:eastAsia="zh-CN"/>
        </w:rPr>
        <w:t>水系网络：矿区周围无常年地表水流分布，距矿区最近的常年性河流为格尔木河。</w:t>
      </w:r>
    </w:p>
    <w:p w14:paraId="4BBCFF2C">
      <w:pPr>
        <w:keepNext w:val="0"/>
        <w:keepLines w:val="0"/>
        <w:pageBreakBefore w:val="0"/>
        <w:widowControl w:val="0"/>
        <w:kinsoku/>
        <w:wordWrap/>
        <w:overflowPunct w:val="0"/>
        <w:topLinePunct w:val="0"/>
        <w:autoSpaceDE/>
        <w:autoSpaceDN/>
        <w:bidi w:val="0"/>
        <w:adjustRightInd/>
        <w:snapToGrid/>
        <w:spacing w:line="360" w:lineRule="auto"/>
        <w:ind w:firstLine="568" w:firstLineChars="200"/>
        <w:jc w:val="both"/>
        <w:textAlignment w:val="baseline"/>
        <w:rPr>
          <w:rFonts w:hint="eastAsia" w:ascii="宋体" w:hAnsi="宋体" w:eastAsia="宋体" w:cs="宋体"/>
          <w:spacing w:val="2"/>
          <w:sz w:val="28"/>
          <w:szCs w:val="28"/>
          <w:lang w:eastAsia="zh-CN"/>
        </w:rPr>
      </w:pPr>
      <w:r>
        <w:rPr>
          <w:rFonts w:hint="eastAsia" w:ascii="宋体" w:hAnsi="宋体" w:eastAsia="宋体" w:cs="宋体"/>
          <w:spacing w:val="2"/>
          <w:sz w:val="28"/>
          <w:szCs w:val="28"/>
          <w:lang w:eastAsia="zh-CN"/>
        </w:rPr>
        <w:t>格尔木河属柴达木盆地内陆水系，发源于昆仑山北坡，由西支昆仑河、东支雪水河、南支清水河汇合而成，往北流经市区后注入达布逊湖，全长468km。</w:t>
      </w:r>
    </w:p>
    <w:p w14:paraId="2C9608C3">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70" w:name="_Toc15331"/>
      <w:r>
        <w:rPr>
          <w:rFonts w:hint="eastAsia" w:ascii="宋体" w:hAnsi="宋体" w:eastAsia="宋体" w:cs="宋体"/>
          <w:sz w:val="28"/>
          <w:szCs w:val="28"/>
          <w:lang w:eastAsia="zh-CN"/>
        </w:rPr>
        <w:t>（二）生态功能定位</w:t>
      </w:r>
      <w:bookmarkEnd w:id="70"/>
    </w:p>
    <w:p w14:paraId="12DAE926">
      <w:pPr>
        <w:keepNext w:val="0"/>
        <w:keepLines w:val="0"/>
        <w:pageBreakBefore w:val="0"/>
        <w:widowControl w:val="0"/>
        <w:kinsoku/>
        <w:wordWrap/>
        <w:overflowPunct w:val="0"/>
        <w:topLinePunct w:val="0"/>
        <w:autoSpaceDE/>
        <w:autoSpaceDN/>
        <w:bidi w:val="0"/>
        <w:adjustRightInd/>
        <w:snapToGrid/>
        <w:spacing w:line="360" w:lineRule="auto"/>
        <w:ind w:firstLine="568" w:firstLineChars="200"/>
        <w:jc w:val="both"/>
        <w:textAlignment w:val="baseline"/>
        <w:rPr>
          <w:rFonts w:hint="eastAsia" w:ascii="宋体" w:hAnsi="宋体" w:eastAsia="宋体" w:cs="宋体"/>
          <w:spacing w:val="2"/>
          <w:sz w:val="28"/>
          <w:szCs w:val="28"/>
          <w:lang w:eastAsia="zh-CN"/>
        </w:rPr>
      </w:pPr>
      <w:r>
        <w:rPr>
          <w:rFonts w:ascii="宋体" w:hAnsi="宋体" w:eastAsia="宋体" w:cs="宋体"/>
          <w:spacing w:val="2"/>
          <w:sz w:val="28"/>
          <w:szCs w:val="28"/>
          <w:lang w:eastAsia="zh-CN"/>
        </w:rPr>
        <w:t>本项目对照《</w:t>
      </w:r>
      <w:r>
        <w:rPr>
          <w:rFonts w:hint="eastAsia" w:ascii="宋体" w:hAnsi="宋体" w:eastAsia="宋体" w:cs="宋体"/>
          <w:spacing w:val="2"/>
          <w:sz w:val="28"/>
          <w:szCs w:val="28"/>
          <w:lang w:eastAsia="zh-CN"/>
        </w:rPr>
        <w:t>海西州</w:t>
      </w:r>
      <w:r>
        <w:rPr>
          <w:rFonts w:ascii="宋体" w:hAnsi="宋体" w:eastAsia="宋体" w:cs="宋体"/>
          <w:spacing w:val="2"/>
          <w:sz w:val="28"/>
          <w:szCs w:val="28"/>
          <w:lang w:eastAsia="zh-CN"/>
        </w:rPr>
        <w:t>人民政府关于印发&lt;</w:t>
      </w:r>
      <w:r>
        <w:rPr>
          <w:rFonts w:hint="eastAsia" w:ascii="宋体" w:hAnsi="宋体" w:eastAsia="宋体" w:cs="宋体"/>
          <w:spacing w:val="2"/>
          <w:sz w:val="28"/>
          <w:szCs w:val="28"/>
          <w:lang w:eastAsia="zh-CN"/>
        </w:rPr>
        <w:t>海西州</w:t>
      </w:r>
      <w:r>
        <w:rPr>
          <w:rFonts w:ascii="宋体" w:hAnsi="宋体" w:eastAsia="宋体" w:cs="宋体"/>
          <w:spacing w:val="2"/>
          <w:sz w:val="28"/>
          <w:szCs w:val="28"/>
          <w:lang w:eastAsia="zh-CN"/>
        </w:rPr>
        <w:t>2023年生态环境分区管控要求及准入清单的通知&gt;》（</w:t>
      </w:r>
      <w:r>
        <w:rPr>
          <w:rFonts w:hint="eastAsia" w:ascii="宋体" w:hAnsi="宋体" w:eastAsia="宋体" w:cs="宋体"/>
          <w:spacing w:val="2"/>
          <w:sz w:val="28"/>
          <w:szCs w:val="28"/>
          <w:lang w:eastAsia="zh-CN"/>
        </w:rPr>
        <w:t>西</w:t>
      </w:r>
      <w:r>
        <w:rPr>
          <w:rFonts w:ascii="宋体" w:hAnsi="宋体" w:eastAsia="宋体" w:cs="宋体"/>
          <w:spacing w:val="2"/>
          <w:sz w:val="28"/>
          <w:szCs w:val="28"/>
          <w:lang w:eastAsia="zh-CN"/>
        </w:rPr>
        <w:t>政〔2024〕</w:t>
      </w:r>
      <w:r>
        <w:rPr>
          <w:rFonts w:hint="eastAsia" w:ascii="宋体" w:hAnsi="宋体" w:eastAsia="宋体" w:cs="宋体"/>
          <w:spacing w:val="2"/>
          <w:sz w:val="28"/>
          <w:szCs w:val="28"/>
          <w:lang w:eastAsia="zh-CN"/>
        </w:rPr>
        <w:t>26</w:t>
      </w:r>
      <w:r>
        <w:rPr>
          <w:rFonts w:ascii="宋体" w:hAnsi="宋体" w:eastAsia="宋体" w:cs="宋体"/>
          <w:spacing w:val="2"/>
          <w:sz w:val="28"/>
          <w:szCs w:val="28"/>
          <w:lang w:eastAsia="zh-CN"/>
        </w:rPr>
        <w:t>号），本</w:t>
      </w:r>
      <w:r>
        <w:rPr>
          <w:rFonts w:hint="eastAsia" w:ascii="宋体" w:hAnsi="宋体" w:eastAsia="宋体" w:cs="宋体"/>
          <w:spacing w:val="2"/>
          <w:sz w:val="28"/>
          <w:szCs w:val="28"/>
          <w:lang w:eastAsia="zh-CN"/>
        </w:rPr>
        <w:t>矿区</w:t>
      </w:r>
      <w:r>
        <w:rPr>
          <w:rFonts w:ascii="宋体" w:hAnsi="宋体" w:eastAsia="宋体" w:cs="宋体"/>
          <w:spacing w:val="2"/>
          <w:sz w:val="28"/>
          <w:szCs w:val="28"/>
          <w:lang w:eastAsia="zh-CN"/>
        </w:rPr>
        <w:t>位于</w:t>
      </w:r>
      <w:r>
        <w:rPr>
          <w:rFonts w:hint="eastAsia" w:ascii="宋体" w:hAnsi="宋体" w:eastAsia="宋体" w:cs="宋体"/>
          <w:sz w:val="28"/>
          <w:szCs w:val="28"/>
          <w:lang w:eastAsia="zh-CN"/>
        </w:rPr>
        <w:t>青海</w:t>
      </w:r>
      <w:r>
        <w:rPr>
          <w:rFonts w:hint="eastAsia" w:ascii="宋体" w:hAnsi="宋体" w:eastAsia="宋体" w:cs="宋体"/>
          <w:spacing w:val="2"/>
          <w:sz w:val="28"/>
          <w:szCs w:val="28"/>
          <w:lang w:eastAsia="zh-CN"/>
        </w:rPr>
        <w:t>省格尔木市茶格高速南阶地</w:t>
      </w:r>
      <w:r>
        <w:rPr>
          <w:rFonts w:ascii="宋体" w:hAnsi="宋体" w:eastAsia="宋体" w:cs="宋体"/>
          <w:spacing w:val="2"/>
          <w:sz w:val="28"/>
          <w:szCs w:val="28"/>
          <w:lang w:eastAsia="zh-CN"/>
        </w:rPr>
        <w:t>，按照</w:t>
      </w:r>
      <w:r>
        <w:rPr>
          <w:rFonts w:hint="eastAsia" w:ascii="宋体" w:hAnsi="宋体" w:eastAsia="宋体" w:cs="宋体"/>
          <w:spacing w:val="2"/>
          <w:sz w:val="28"/>
          <w:szCs w:val="28"/>
          <w:lang w:eastAsia="zh-CN"/>
        </w:rPr>
        <w:t>格尔木市</w:t>
      </w:r>
      <w:r>
        <w:rPr>
          <w:rFonts w:ascii="宋体" w:hAnsi="宋体" w:eastAsia="宋体" w:cs="宋体"/>
          <w:spacing w:val="2"/>
          <w:sz w:val="28"/>
          <w:szCs w:val="28"/>
          <w:lang w:eastAsia="zh-CN"/>
        </w:rPr>
        <w:t>环境管控单元</w:t>
      </w:r>
      <w:r>
        <w:rPr>
          <w:rFonts w:hint="eastAsia" w:ascii="宋体" w:hAnsi="宋体" w:eastAsia="宋体" w:cs="宋体"/>
          <w:spacing w:val="2"/>
          <w:sz w:val="28"/>
          <w:szCs w:val="28"/>
          <w:lang w:eastAsia="zh-CN"/>
        </w:rPr>
        <w:t>分布</w:t>
      </w:r>
      <w:r>
        <w:rPr>
          <w:rFonts w:ascii="宋体" w:hAnsi="宋体" w:eastAsia="宋体" w:cs="宋体"/>
          <w:spacing w:val="2"/>
          <w:sz w:val="28"/>
          <w:szCs w:val="28"/>
          <w:lang w:eastAsia="zh-CN"/>
        </w:rPr>
        <w:t>图，属于</w:t>
      </w:r>
      <w:r>
        <w:rPr>
          <w:rFonts w:hint="eastAsia" w:ascii="宋体" w:hAnsi="宋体" w:eastAsia="宋体" w:cs="宋体"/>
          <w:spacing w:val="2"/>
          <w:sz w:val="28"/>
          <w:szCs w:val="28"/>
          <w:lang w:eastAsia="zh-CN"/>
        </w:rPr>
        <w:t>格尔木市</w:t>
      </w:r>
      <w:r>
        <w:rPr>
          <w:rFonts w:ascii="宋体" w:hAnsi="宋体" w:eastAsia="宋体" w:cs="宋体"/>
          <w:spacing w:val="2"/>
          <w:sz w:val="28"/>
          <w:szCs w:val="28"/>
          <w:lang w:eastAsia="zh-CN"/>
        </w:rPr>
        <w:t>生态</w:t>
      </w:r>
      <w:r>
        <w:rPr>
          <w:rFonts w:hint="eastAsia" w:ascii="宋体" w:hAnsi="宋体" w:eastAsia="宋体" w:cs="宋体"/>
          <w:spacing w:val="2"/>
          <w:sz w:val="28"/>
          <w:szCs w:val="28"/>
          <w:lang w:eastAsia="zh-CN"/>
        </w:rPr>
        <w:t>保护</w:t>
      </w:r>
      <w:r>
        <w:rPr>
          <w:rFonts w:hint="eastAsia" w:ascii="宋体" w:hAnsi="宋体" w:eastAsia="宋体" w:cs="宋体"/>
          <w:sz w:val="28"/>
          <w:szCs w:val="28"/>
          <w:lang w:eastAsia="zh-CN"/>
        </w:rPr>
        <w:t>区优先保护单元</w:t>
      </w:r>
      <w:r>
        <w:rPr>
          <w:rFonts w:ascii="宋体" w:hAnsi="宋体" w:eastAsia="宋体" w:cs="宋体"/>
          <w:spacing w:val="2"/>
          <w:sz w:val="28"/>
          <w:szCs w:val="28"/>
          <w:lang w:eastAsia="zh-CN"/>
        </w:rPr>
        <w:t>；水土保持：</w:t>
      </w:r>
      <w:r>
        <w:rPr>
          <w:rFonts w:hint="eastAsia" w:ascii="宋体" w:hAnsi="宋体" w:eastAsia="宋体" w:cs="宋体"/>
          <w:spacing w:val="2"/>
          <w:sz w:val="28"/>
          <w:szCs w:val="28"/>
          <w:lang w:eastAsia="zh-CN"/>
        </w:rPr>
        <w:t>矿</w:t>
      </w:r>
      <w:r>
        <w:rPr>
          <w:rFonts w:ascii="宋体" w:hAnsi="宋体" w:eastAsia="宋体" w:cs="宋体"/>
          <w:spacing w:val="2"/>
          <w:sz w:val="28"/>
          <w:szCs w:val="28"/>
          <w:lang w:eastAsia="zh-CN"/>
        </w:rPr>
        <w:t>区原地貌土壤侵蚀模数约1200-1800t/(km</w:t>
      </w:r>
      <w:r>
        <w:rPr>
          <w:rFonts w:ascii="宋体" w:hAnsi="宋体" w:eastAsia="宋体" w:cs="宋体"/>
          <w:spacing w:val="2"/>
          <w:sz w:val="28"/>
          <w:szCs w:val="28"/>
          <w:vertAlign w:val="superscript"/>
          <w:lang w:eastAsia="zh-CN"/>
        </w:rPr>
        <w:t>2</w:t>
      </w:r>
      <w:r>
        <w:rPr>
          <w:rFonts w:ascii="宋体" w:hAnsi="宋体" w:eastAsia="宋体" w:cs="宋体"/>
          <w:spacing w:val="2"/>
          <w:sz w:val="28"/>
          <w:szCs w:val="28"/>
          <w:lang w:eastAsia="zh-CN"/>
        </w:rPr>
        <w:t>·a)，属青藏高原高寒草原冻融侵蚀区，土壤侵蚀类型主要为轻度冻融侵蚀兼水力侵蚀，但露天采区可能加剧局部侵蚀风险。</w:t>
      </w:r>
    </w:p>
    <w:p w14:paraId="732F1524">
      <w:pPr>
        <w:pStyle w:val="4"/>
        <w:keepNext w:val="0"/>
        <w:keepLines w:val="0"/>
        <w:widowControl w:val="0"/>
        <w:kinsoku/>
        <w:adjustRightInd/>
        <w:snapToGrid/>
        <w:spacing w:before="0" w:after="0" w:line="360" w:lineRule="auto"/>
        <w:rPr>
          <w:lang w:eastAsia="zh-CN"/>
        </w:rPr>
      </w:pPr>
      <w:bookmarkStart w:id="71" w:name="_Toc22137"/>
      <w:r>
        <w:rPr>
          <w:rFonts w:hint="eastAsia" w:ascii="宋体" w:hAnsi="宋体" w:eastAsia="宋体" w:cs="宋体"/>
          <w:sz w:val="28"/>
          <w:szCs w:val="28"/>
          <w:lang w:eastAsia="zh-CN"/>
        </w:rPr>
        <w:t>（三）生态功能定位生物多样性状况</w:t>
      </w:r>
      <w:bookmarkEnd w:id="71"/>
    </w:p>
    <w:p w14:paraId="704B0B13">
      <w:pPr>
        <w:keepNext w:val="0"/>
        <w:keepLines w:val="0"/>
        <w:pageBreakBefore w:val="0"/>
        <w:widowControl w:val="0"/>
        <w:kinsoku/>
        <w:wordWrap/>
        <w:overflowPunct w:val="0"/>
        <w:topLinePunct w:val="0"/>
        <w:autoSpaceDE/>
        <w:autoSpaceDN/>
        <w:bidi w:val="0"/>
        <w:adjustRightInd/>
        <w:snapToGrid/>
        <w:spacing w:line="360" w:lineRule="auto"/>
        <w:ind w:firstLine="536" w:firstLineChars="200"/>
        <w:jc w:val="both"/>
        <w:textAlignment w:val="baseline"/>
        <w:rPr>
          <w:rFonts w:hint="eastAsia" w:ascii="宋体" w:hAnsi="宋体" w:eastAsia="宋体" w:cs="宋体"/>
          <w:sz w:val="28"/>
          <w:szCs w:val="28"/>
          <w:lang w:eastAsia="zh-CN"/>
        </w:rPr>
      </w:pPr>
      <w:r>
        <w:rPr>
          <w:rFonts w:ascii="宋体" w:hAnsi="宋体" w:eastAsia="宋体" w:cs="宋体"/>
          <w:spacing w:val="-6"/>
          <w:sz w:val="28"/>
          <w:szCs w:val="28"/>
          <w:lang w:eastAsia="zh-CN"/>
        </w:rPr>
        <w:t>1、物种名录</w:t>
      </w:r>
    </w:p>
    <w:p w14:paraId="09F4C1A1">
      <w:pPr>
        <w:keepNext w:val="0"/>
        <w:keepLines w:val="0"/>
        <w:pageBreakBefore w:val="0"/>
        <w:widowControl w:val="0"/>
        <w:kinsoku/>
        <w:wordWrap/>
        <w:overflowPunct w:val="0"/>
        <w:topLinePunct w:val="0"/>
        <w:autoSpaceDE/>
        <w:autoSpaceDN/>
        <w:bidi w:val="0"/>
        <w:adjustRightInd/>
        <w:snapToGrid/>
        <w:spacing w:line="360" w:lineRule="auto"/>
        <w:ind w:firstLine="572" w:firstLineChars="200"/>
        <w:jc w:val="both"/>
        <w:textAlignment w:val="baseline"/>
        <w:rPr>
          <w:rFonts w:hint="eastAsia" w:ascii="宋体" w:hAnsi="宋体" w:eastAsia="宋体" w:cs="宋体"/>
          <w:sz w:val="28"/>
          <w:szCs w:val="28"/>
          <w:lang w:eastAsia="zh-CN"/>
        </w:rPr>
      </w:pPr>
      <w:r>
        <w:rPr>
          <w:rFonts w:ascii="宋体" w:hAnsi="宋体" w:eastAsia="宋体" w:cs="宋体"/>
          <w:spacing w:val="3"/>
          <w:sz w:val="28"/>
          <w:szCs w:val="28"/>
          <w:lang w:eastAsia="zh-CN"/>
        </w:rPr>
        <w:t>植物多样性：本次实地调查的数据，依据《中国植物志》和《</w:t>
      </w:r>
      <w:r>
        <w:rPr>
          <w:rFonts w:ascii="宋体" w:hAnsi="宋体" w:eastAsia="宋体" w:cs="宋体"/>
          <w:sz w:val="28"/>
          <w:szCs w:val="28"/>
          <w:lang w:eastAsia="zh-CN"/>
        </w:rPr>
        <w:t>FloraofChina</w:t>
      </w:r>
      <w:r>
        <w:rPr>
          <w:rFonts w:ascii="宋体" w:hAnsi="宋体" w:eastAsia="宋体" w:cs="宋体"/>
          <w:spacing w:val="8"/>
          <w:sz w:val="28"/>
          <w:szCs w:val="28"/>
          <w:lang w:eastAsia="zh-CN"/>
        </w:rPr>
        <w:t>》的分类系统，在项目区域可见范围内</w:t>
      </w:r>
      <w:r>
        <w:rPr>
          <w:rFonts w:hint="eastAsia" w:ascii="宋体" w:hAnsi="宋体" w:eastAsia="宋体" w:cs="宋体"/>
          <w:spacing w:val="8"/>
          <w:sz w:val="28"/>
          <w:szCs w:val="28"/>
          <w:lang w:eastAsia="zh-CN"/>
        </w:rPr>
        <w:t>未发现植被</w:t>
      </w:r>
      <w:r>
        <w:rPr>
          <w:rFonts w:ascii="宋体" w:hAnsi="宋体" w:eastAsia="宋体" w:cs="宋体"/>
          <w:sz w:val="28"/>
          <w:szCs w:val="28"/>
          <w:lang w:eastAsia="zh-CN"/>
        </w:rPr>
        <w:t>，结合实地调查的情况，</w:t>
      </w:r>
      <w:r>
        <w:rPr>
          <w:rFonts w:ascii="宋体" w:hAnsi="宋体" w:eastAsia="宋体" w:cs="宋体"/>
          <w:spacing w:val="-1"/>
          <w:sz w:val="28"/>
          <w:szCs w:val="28"/>
          <w:lang w:eastAsia="zh-CN"/>
        </w:rPr>
        <w:t>在项目区域内未发现保护植物。</w:t>
      </w:r>
    </w:p>
    <w:p w14:paraId="0DB4FC5B">
      <w:pPr>
        <w:keepNext w:val="0"/>
        <w:keepLines w:val="0"/>
        <w:pageBreakBefore w:val="0"/>
        <w:widowControl w:val="0"/>
        <w:kinsoku/>
        <w:wordWrap/>
        <w:overflowPunct w:val="0"/>
        <w:topLinePunct w:val="0"/>
        <w:autoSpaceDE/>
        <w:autoSpaceDN/>
        <w:bidi w:val="0"/>
        <w:adjustRightInd/>
        <w:snapToGrid/>
        <w:spacing w:line="360" w:lineRule="auto"/>
        <w:ind w:firstLine="572" w:firstLineChars="200"/>
        <w:jc w:val="both"/>
        <w:textAlignment w:val="baseline"/>
        <w:rPr>
          <w:rFonts w:hint="eastAsia" w:ascii="宋体" w:hAnsi="宋体" w:eastAsia="宋体" w:cs="宋体"/>
          <w:sz w:val="28"/>
          <w:szCs w:val="28"/>
          <w:lang w:eastAsia="zh-CN"/>
        </w:rPr>
      </w:pPr>
      <w:r>
        <w:rPr>
          <w:rFonts w:ascii="宋体" w:hAnsi="宋体" w:eastAsia="宋体" w:cs="宋体"/>
          <w:spacing w:val="3"/>
          <w:sz w:val="28"/>
          <w:szCs w:val="28"/>
          <w:lang w:eastAsia="zh-CN"/>
        </w:rPr>
        <w:t>动物多样性：根据现场勘查，矿区及周边的主要动物物种有麻雀、野兔等，矿区周边未发现《国家重点保护野生动物名录》中保护的野</w:t>
      </w:r>
      <w:r>
        <w:rPr>
          <w:rFonts w:ascii="宋体" w:hAnsi="宋体" w:eastAsia="宋体" w:cs="宋体"/>
          <w:spacing w:val="-2"/>
          <w:sz w:val="28"/>
          <w:szCs w:val="28"/>
          <w:lang w:eastAsia="zh-CN"/>
        </w:rPr>
        <w:t>生动物种类。</w:t>
      </w:r>
    </w:p>
    <w:p w14:paraId="7341F1BE">
      <w:pPr>
        <w:keepNext w:val="0"/>
        <w:keepLines w:val="0"/>
        <w:pageBreakBefore w:val="0"/>
        <w:widowControl w:val="0"/>
        <w:kinsoku/>
        <w:wordWrap/>
        <w:overflowPunct w:val="0"/>
        <w:topLinePunct w:val="0"/>
        <w:autoSpaceDE/>
        <w:autoSpaceDN/>
        <w:bidi w:val="0"/>
        <w:adjustRightInd/>
        <w:snapToGrid/>
        <w:spacing w:line="360" w:lineRule="auto"/>
        <w:ind w:firstLine="552" w:firstLineChars="200"/>
        <w:jc w:val="both"/>
        <w:textAlignment w:val="baseline"/>
        <w:rPr>
          <w:rFonts w:hint="eastAsia" w:ascii="宋体" w:hAnsi="宋体" w:eastAsia="宋体" w:cs="宋体"/>
          <w:sz w:val="28"/>
          <w:szCs w:val="28"/>
          <w:lang w:eastAsia="zh-CN"/>
        </w:rPr>
      </w:pPr>
      <w:r>
        <w:rPr>
          <w:rFonts w:ascii="宋体" w:hAnsi="宋体" w:eastAsia="宋体" w:cs="宋体"/>
          <w:spacing w:val="-2"/>
          <w:sz w:val="28"/>
          <w:szCs w:val="28"/>
          <w:lang w:eastAsia="zh-CN"/>
        </w:rPr>
        <w:t>2、敏感生态目标</w:t>
      </w:r>
    </w:p>
    <w:p w14:paraId="43E3F930">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z w:val="28"/>
          <w:szCs w:val="28"/>
          <w:lang w:eastAsia="zh-CN"/>
        </w:rPr>
      </w:pPr>
      <w:r>
        <w:rPr>
          <w:rFonts w:ascii="宋体" w:hAnsi="宋体" w:eastAsia="宋体" w:cs="宋体"/>
          <w:spacing w:val="-1"/>
          <w:sz w:val="28"/>
          <w:szCs w:val="28"/>
          <w:lang w:eastAsia="zh-CN"/>
        </w:rPr>
        <w:t>关键栖息地：根据现场勘查，矿区及周边未发现敏感生态目标。</w:t>
      </w:r>
    </w:p>
    <w:p w14:paraId="1BDB8753">
      <w:pPr>
        <w:keepNext w:val="0"/>
        <w:keepLines w:val="0"/>
        <w:pageBreakBefore w:val="0"/>
        <w:widowControl w:val="0"/>
        <w:kinsoku/>
        <w:wordWrap/>
        <w:overflowPunct w:val="0"/>
        <w:topLinePunct w:val="0"/>
        <w:autoSpaceDE/>
        <w:autoSpaceDN/>
        <w:bidi w:val="0"/>
        <w:adjustRightInd/>
        <w:snapToGrid/>
        <w:spacing w:line="360" w:lineRule="auto"/>
        <w:ind w:firstLine="548" w:firstLineChars="200"/>
        <w:jc w:val="both"/>
        <w:textAlignment w:val="baseline"/>
        <w:rPr>
          <w:rFonts w:hint="eastAsia" w:ascii="宋体" w:hAnsi="宋体" w:eastAsia="宋体" w:cs="宋体"/>
          <w:sz w:val="28"/>
          <w:szCs w:val="28"/>
          <w:lang w:eastAsia="zh-CN"/>
        </w:rPr>
      </w:pPr>
      <w:r>
        <w:rPr>
          <w:rFonts w:ascii="宋体" w:hAnsi="宋体" w:eastAsia="宋体" w:cs="宋体"/>
          <w:spacing w:val="-3"/>
          <w:sz w:val="28"/>
          <w:szCs w:val="28"/>
          <w:lang w:eastAsia="zh-CN"/>
        </w:rPr>
        <w:t>3、受威胁状况</w:t>
      </w:r>
    </w:p>
    <w:p w14:paraId="4FE3294F">
      <w:pPr>
        <w:keepNext w:val="0"/>
        <w:keepLines w:val="0"/>
        <w:pageBreakBefore w:val="0"/>
        <w:widowControl w:val="0"/>
        <w:kinsoku/>
        <w:wordWrap/>
        <w:overflowPunct w:val="0"/>
        <w:topLinePunct w:val="0"/>
        <w:autoSpaceDE/>
        <w:autoSpaceDN/>
        <w:bidi w:val="0"/>
        <w:adjustRightInd/>
        <w:snapToGrid/>
        <w:spacing w:line="360" w:lineRule="auto"/>
        <w:ind w:firstLine="572" w:firstLineChars="200"/>
        <w:jc w:val="both"/>
        <w:textAlignment w:val="baseline"/>
        <w:rPr>
          <w:rFonts w:hint="eastAsia" w:ascii="宋体" w:hAnsi="宋体" w:eastAsia="宋体" w:cs="宋体"/>
          <w:sz w:val="28"/>
          <w:szCs w:val="28"/>
          <w:lang w:eastAsia="zh-CN"/>
        </w:rPr>
      </w:pPr>
      <w:r>
        <w:rPr>
          <w:rFonts w:ascii="宋体" w:hAnsi="宋体" w:eastAsia="宋体" w:cs="宋体"/>
          <w:spacing w:val="3"/>
          <w:sz w:val="28"/>
          <w:szCs w:val="28"/>
          <w:lang w:eastAsia="zh-CN"/>
        </w:rPr>
        <w:t>本项目对野生动物的影响主要来自工程各类噪声及人为活动对野生动物的惊扰，包括机械噪声、设备运转及运输车辆产生的噪声对周围野生动物的惊扰等</w:t>
      </w:r>
      <w:r>
        <w:rPr>
          <w:rFonts w:ascii="宋体" w:hAnsi="宋体" w:eastAsia="宋体" w:cs="宋体"/>
          <w:spacing w:val="-1"/>
          <w:sz w:val="28"/>
          <w:szCs w:val="28"/>
          <w:lang w:eastAsia="zh-CN"/>
        </w:rPr>
        <w:t>。</w:t>
      </w:r>
    </w:p>
    <w:p w14:paraId="58B49157">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72" w:name="_Toc21300"/>
      <w:r>
        <w:rPr>
          <w:rFonts w:hint="eastAsia" w:ascii="宋体" w:hAnsi="宋体" w:eastAsia="宋体" w:cs="宋体"/>
          <w:sz w:val="30"/>
          <w:szCs w:val="30"/>
          <w:lang w:eastAsia="zh-CN"/>
        </w:rPr>
        <w:t>六、矿区及周边人类工程活动</w:t>
      </w:r>
      <w:bookmarkEnd w:id="72"/>
    </w:p>
    <w:p w14:paraId="2238A80D">
      <w:pPr>
        <w:keepNext w:val="0"/>
        <w:keepLines w:val="0"/>
        <w:pageBreakBefore w:val="0"/>
        <w:widowControl w:val="0"/>
        <w:kinsoku/>
        <w:wordWrap/>
        <w:overflowPunct w:val="0"/>
        <w:topLinePunct w:val="0"/>
        <w:autoSpaceDE/>
        <w:autoSpaceDN/>
        <w:bidi w:val="0"/>
        <w:adjustRightInd/>
        <w:snapToGrid/>
        <w:spacing w:line="360" w:lineRule="auto"/>
        <w:ind w:firstLine="548" w:firstLineChars="200"/>
        <w:jc w:val="both"/>
        <w:textAlignment w:val="baseline"/>
        <w:rPr>
          <w:rFonts w:hint="eastAsia" w:ascii="宋体" w:hAnsi="宋体" w:eastAsia="宋体" w:cs="宋体"/>
          <w:spacing w:val="-3"/>
          <w:sz w:val="28"/>
          <w:szCs w:val="28"/>
          <w:lang w:eastAsia="zh-CN"/>
        </w:rPr>
      </w:pPr>
      <w:bookmarkStart w:id="73" w:name="_Hlk504039104"/>
      <w:r>
        <w:rPr>
          <w:rFonts w:ascii="宋体" w:hAnsi="宋体" w:eastAsia="宋体" w:cs="宋体"/>
          <w:spacing w:val="-3"/>
          <w:sz w:val="28"/>
          <w:szCs w:val="28"/>
          <w:lang w:eastAsia="zh-CN"/>
        </w:rPr>
        <w:t>矿</w:t>
      </w:r>
      <w:r>
        <w:rPr>
          <w:rFonts w:hint="eastAsia" w:ascii="宋体" w:hAnsi="宋体" w:eastAsia="宋体" w:cs="宋体"/>
          <w:spacing w:val="-3"/>
          <w:sz w:val="28"/>
          <w:szCs w:val="28"/>
          <w:lang w:eastAsia="zh-CN"/>
        </w:rPr>
        <w:t>山前期主要建设工程有工业场地、成品堆料场、生活区及矿山道路周围无其他工程活动，现阶段采矿活动影响较轻，其他人类工程活动对地质环境影响较轻</w:t>
      </w:r>
      <w:r>
        <w:rPr>
          <w:rFonts w:ascii="宋体" w:hAnsi="宋体" w:eastAsia="宋体" w:cs="宋体"/>
          <w:spacing w:val="-3"/>
          <w:sz w:val="28"/>
          <w:szCs w:val="28"/>
          <w:lang w:eastAsia="zh-CN"/>
        </w:rPr>
        <w:t>。</w:t>
      </w:r>
    </w:p>
    <w:bookmarkEnd w:id="73"/>
    <w:p w14:paraId="7293AE58">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74" w:name="_Toc2487"/>
      <w:r>
        <w:rPr>
          <w:rFonts w:hint="eastAsia" w:ascii="宋体" w:hAnsi="宋体" w:eastAsia="宋体" w:cs="宋体"/>
          <w:sz w:val="30"/>
          <w:szCs w:val="30"/>
          <w:lang w:eastAsia="zh-CN"/>
        </w:rPr>
        <w:t>七、矿区生态修复工作情况</w:t>
      </w:r>
      <w:bookmarkEnd w:id="74"/>
    </w:p>
    <w:p w14:paraId="26946BF1">
      <w:pPr>
        <w:widowControl w:val="0"/>
        <w:kinsoku/>
        <w:adjustRightInd/>
        <w:snapToGrid/>
        <w:spacing w:line="360" w:lineRule="auto"/>
        <w:ind w:firstLine="548" w:firstLineChars="200"/>
        <w:jc w:val="both"/>
        <w:rPr>
          <w:rFonts w:hint="eastAsia" w:ascii="宋体" w:hAnsi="宋体" w:eastAsia="宋体" w:cs="宋体"/>
          <w:spacing w:val="-3"/>
          <w:sz w:val="28"/>
          <w:szCs w:val="28"/>
          <w:lang w:eastAsia="zh-CN"/>
        </w:rPr>
      </w:pPr>
      <w:r>
        <w:rPr>
          <w:rFonts w:ascii="宋体" w:hAnsi="宋体" w:eastAsia="宋体" w:cs="宋体"/>
          <w:spacing w:val="-3"/>
          <w:sz w:val="28"/>
          <w:szCs w:val="28"/>
          <w:lang w:eastAsia="zh-CN"/>
        </w:rPr>
        <w:t>矿山以往</w:t>
      </w:r>
      <w:r>
        <w:rPr>
          <w:rFonts w:hint="eastAsia" w:ascii="宋体" w:hAnsi="宋体" w:eastAsia="宋体" w:cs="宋体"/>
          <w:spacing w:val="-3"/>
          <w:sz w:val="28"/>
          <w:szCs w:val="28"/>
          <w:lang w:eastAsia="zh-CN"/>
        </w:rPr>
        <w:t>采矿场地</w:t>
      </w:r>
      <w:r>
        <w:rPr>
          <w:rFonts w:ascii="宋体" w:hAnsi="宋体" w:eastAsia="宋体" w:cs="宋体"/>
          <w:spacing w:val="-3"/>
          <w:sz w:val="28"/>
          <w:szCs w:val="28"/>
          <w:lang w:eastAsia="zh-CN"/>
        </w:rPr>
        <w:t>域</w:t>
      </w:r>
      <w:r>
        <w:rPr>
          <w:rFonts w:hint="eastAsia" w:ascii="宋体" w:hAnsi="宋体" w:eastAsia="宋体" w:cs="宋体"/>
          <w:spacing w:val="-3"/>
          <w:sz w:val="28"/>
          <w:szCs w:val="28"/>
          <w:lang w:eastAsia="zh-CN"/>
        </w:rPr>
        <w:t>内未</w:t>
      </w:r>
      <w:r>
        <w:rPr>
          <w:rFonts w:ascii="宋体" w:hAnsi="宋体" w:eastAsia="宋体" w:cs="宋体"/>
          <w:spacing w:val="-3"/>
          <w:sz w:val="28"/>
          <w:szCs w:val="28"/>
          <w:lang w:eastAsia="zh-CN"/>
        </w:rPr>
        <w:t>进行了生态修复工作，本设计中参考</w:t>
      </w:r>
      <w:r>
        <w:rPr>
          <w:rFonts w:hint="eastAsia" w:ascii="宋体" w:hAnsi="宋体" w:eastAsia="宋体" w:cs="宋体"/>
          <w:spacing w:val="-3"/>
          <w:sz w:val="28"/>
          <w:szCs w:val="28"/>
          <w:lang w:eastAsia="zh-CN"/>
        </w:rPr>
        <w:t>周边项目的</w:t>
      </w:r>
      <w:r>
        <w:rPr>
          <w:rFonts w:ascii="宋体" w:hAnsi="宋体" w:eastAsia="宋体" w:cs="宋体"/>
          <w:spacing w:val="-3"/>
          <w:sz w:val="28"/>
          <w:szCs w:val="28"/>
          <w:lang w:eastAsia="zh-CN"/>
        </w:rPr>
        <w:t>修复措施，根据本项目实际情况对本设计进一步优化，提高修复效果。</w:t>
      </w:r>
    </w:p>
    <w:p w14:paraId="26FDCDB3">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75" w:name="_Toc27012"/>
      <w:r>
        <w:rPr>
          <w:rFonts w:hint="eastAsia" w:ascii="宋体" w:hAnsi="宋体" w:eastAsia="宋体" w:cs="宋体"/>
          <w:sz w:val="30"/>
          <w:szCs w:val="30"/>
          <w:lang w:eastAsia="zh-CN"/>
        </w:rPr>
        <w:t>八、矿区基本情况调查监测指标</w:t>
      </w:r>
      <w:bookmarkEnd w:id="75"/>
    </w:p>
    <w:p w14:paraId="71C91B00">
      <w:pPr>
        <w:jc w:val="center"/>
        <w:rPr>
          <w:rFonts w:hint="eastAsia" w:ascii="宋体" w:hAnsi="宋体" w:eastAsia="宋体" w:cs="宋体"/>
          <w:b/>
          <w:bCs/>
          <w:szCs w:val="24"/>
          <w:lang w:eastAsia="zh-CN"/>
        </w:rPr>
      </w:pPr>
      <w:r>
        <w:rPr>
          <w:rFonts w:hint="eastAsia" w:ascii="宋体" w:hAnsi="宋体" w:eastAsia="宋体" w:cs="宋体"/>
          <w:b/>
          <w:bCs/>
          <w:szCs w:val="24"/>
          <w:lang w:eastAsia="zh-CN"/>
        </w:rPr>
        <w:t>表2-5  矿山采矿前修复修复监测内容与监测指标表</w:t>
      </w:r>
    </w:p>
    <w:tbl>
      <w:tblPr>
        <w:tblStyle w:val="22"/>
        <w:tblW w:w="8081" w:type="dxa"/>
        <w:tblInd w:w="27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28"/>
        <w:gridCol w:w="1675"/>
        <w:gridCol w:w="2595"/>
        <w:gridCol w:w="1523"/>
        <w:gridCol w:w="760"/>
      </w:tblGrid>
      <w:tr w14:paraId="1B74FB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9" w:hRule="atLeast"/>
        </w:trPr>
        <w:tc>
          <w:tcPr>
            <w:tcW w:w="1528" w:type="dxa"/>
            <w:vAlign w:val="center"/>
          </w:tcPr>
          <w:p w14:paraId="4B1DBA12">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5"/>
                <w:sz w:val="18"/>
                <w:szCs w:val="18"/>
              </w:rPr>
              <w:t>监测对象</w:t>
            </w:r>
          </w:p>
        </w:tc>
        <w:tc>
          <w:tcPr>
            <w:tcW w:w="1675" w:type="dxa"/>
            <w:vAlign w:val="center"/>
          </w:tcPr>
          <w:p w14:paraId="4E78341B">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5"/>
                <w:sz w:val="18"/>
                <w:szCs w:val="18"/>
              </w:rPr>
              <w:t>监测内容</w:t>
            </w:r>
          </w:p>
        </w:tc>
        <w:tc>
          <w:tcPr>
            <w:tcW w:w="2595" w:type="dxa"/>
            <w:vAlign w:val="center"/>
          </w:tcPr>
          <w:p w14:paraId="7473DB67">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5"/>
                <w:sz w:val="18"/>
                <w:szCs w:val="18"/>
              </w:rPr>
              <w:t>监测指标</w:t>
            </w:r>
          </w:p>
        </w:tc>
        <w:tc>
          <w:tcPr>
            <w:tcW w:w="1523" w:type="dxa"/>
            <w:vAlign w:val="center"/>
          </w:tcPr>
          <w:p w14:paraId="1BB4F854">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5"/>
                <w:sz w:val="18"/>
                <w:szCs w:val="18"/>
              </w:rPr>
              <w:t>监测方法</w:t>
            </w:r>
          </w:p>
        </w:tc>
        <w:tc>
          <w:tcPr>
            <w:tcW w:w="760" w:type="dxa"/>
            <w:vAlign w:val="center"/>
          </w:tcPr>
          <w:p w14:paraId="08A77660">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eastAsia="宋体"/>
                <w:sz w:val="18"/>
                <w:szCs w:val="18"/>
                <w:lang w:eastAsia="zh-CN"/>
              </w:rPr>
            </w:pPr>
            <w:r>
              <w:rPr>
                <w:rFonts w:hint="eastAsia"/>
                <w:spacing w:val="-5"/>
                <w:sz w:val="18"/>
                <w:szCs w:val="18"/>
                <w:lang w:eastAsia="zh-CN"/>
              </w:rPr>
              <w:t>其他</w:t>
            </w:r>
          </w:p>
        </w:tc>
      </w:tr>
      <w:tr w14:paraId="541526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restart"/>
            <w:tcBorders>
              <w:top w:val="single" w:color="auto" w:sz="4" w:space="0"/>
            </w:tcBorders>
            <w:vAlign w:val="center"/>
          </w:tcPr>
          <w:p w14:paraId="5DD67A7E">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r>
              <w:rPr>
                <w:spacing w:val="-4"/>
                <w:sz w:val="18"/>
                <w:szCs w:val="18"/>
              </w:rPr>
              <w:t>矿山地质环境</w:t>
            </w:r>
          </w:p>
        </w:tc>
        <w:tc>
          <w:tcPr>
            <w:tcW w:w="1675" w:type="dxa"/>
            <w:vMerge w:val="restart"/>
            <w:tcBorders>
              <w:top w:val="single" w:color="auto" w:sz="4" w:space="0"/>
              <w:bottom w:val="single" w:color="auto" w:sz="4" w:space="0"/>
            </w:tcBorders>
            <w:vAlign w:val="center"/>
          </w:tcPr>
          <w:p w14:paraId="08262C09">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5"/>
                <w:sz w:val="18"/>
                <w:szCs w:val="18"/>
              </w:rPr>
              <w:t>土壤环境</w:t>
            </w:r>
          </w:p>
        </w:tc>
        <w:tc>
          <w:tcPr>
            <w:tcW w:w="2595" w:type="dxa"/>
            <w:vAlign w:val="center"/>
          </w:tcPr>
          <w:p w14:paraId="3B741D34">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z w:val="18"/>
                <w:szCs w:val="18"/>
              </w:rPr>
            </w:pPr>
            <w:r>
              <w:rPr>
                <w:spacing w:val="-2"/>
                <w:sz w:val="18"/>
                <w:szCs w:val="18"/>
              </w:rPr>
              <w:t>土壤污染项目</w:t>
            </w:r>
            <w:r>
              <w:rPr>
                <w:rFonts w:ascii="Times New Roman" w:hAnsi="Times New Roman" w:eastAsia="Times New Roman" w:cs="Times New Roman"/>
                <w:spacing w:val="-2"/>
                <w:sz w:val="18"/>
                <w:szCs w:val="18"/>
              </w:rPr>
              <w:t>b</w:t>
            </w:r>
          </w:p>
        </w:tc>
        <w:tc>
          <w:tcPr>
            <w:tcW w:w="1523" w:type="dxa"/>
            <w:vMerge w:val="restart"/>
            <w:tcBorders>
              <w:bottom w:val="nil"/>
            </w:tcBorders>
            <w:vAlign w:val="center"/>
          </w:tcPr>
          <w:p w14:paraId="709115C0">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HJ/T166</w:t>
            </w:r>
          </w:p>
        </w:tc>
        <w:tc>
          <w:tcPr>
            <w:tcW w:w="760" w:type="dxa"/>
            <w:vAlign w:val="center"/>
          </w:tcPr>
          <w:p w14:paraId="08FC59FE">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44FB90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continue"/>
            <w:tcBorders>
              <w:top w:val="single" w:color="auto" w:sz="4" w:space="0"/>
              <w:bottom w:val="single" w:color="auto" w:sz="4" w:space="0"/>
            </w:tcBorders>
            <w:vAlign w:val="center"/>
          </w:tcPr>
          <w:p w14:paraId="4A7FB71C">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1675" w:type="dxa"/>
            <w:vMerge w:val="continue"/>
            <w:tcBorders>
              <w:top w:val="single" w:color="auto" w:sz="4" w:space="0"/>
              <w:bottom w:val="single" w:color="auto" w:sz="4" w:space="0"/>
            </w:tcBorders>
            <w:vAlign w:val="center"/>
          </w:tcPr>
          <w:p w14:paraId="20A07F12">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2595" w:type="dxa"/>
            <w:tcBorders>
              <w:bottom w:val="single" w:color="auto" w:sz="4" w:space="0"/>
            </w:tcBorders>
            <w:vAlign w:val="center"/>
          </w:tcPr>
          <w:p w14:paraId="48379D78">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z w:val="18"/>
                <w:szCs w:val="18"/>
              </w:rPr>
            </w:pPr>
            <w:r>
              <w:rPr>
                <w:spacing w:val="-2"/>
                <w:sz w:val="18"/>
                <w:szCs w:val="18"/>
              </w:rPr>
              <w:t>土壤微量项目</w:t>
            </w:r>
            <w:r>
              <w:rPr>
                <w:rFonts w:ascii="Times New Roman" w:hAnsi="Times New Roman" w:eastAsia="Times New Roman" w:cs="Times New Roman"/>
                <w:spacing w:val="-2"/>
                <w:position w:val="4"/>
                <w:sz w:val="18"/>
                <w:szCs w:val="18"/>
              </w:rPr>
              <w:t>c</w:t>
            </w:r>
          </w:p>
        </w:tc>
        <w:tc>
          <w:tcPr>
            <w:tcW w:w="1523" w:type="dxa"/>
            <w:vMerge w:val="continue"/>
            <w:tcBorders>
              <w:top w:val="nil"/>
              <w:bottom w:val="single" w:color="auto" w:sz="4" w:space="0"/>
            </w:tcBorders>
            <w:vAlign w:val="center"/>
          </w:tcPr>
          <w:p w14:paraId="18A0ECD2">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760" w:type="dxa"/>
            <w:tcBorders>
              <w:bottom w:val="single" w:color="auto" w:sz="4" w:space="0"/>
            </w:tcBorders>
            <w:vAlign w:val="center"/>
          </w:tcPr>
          <w:p w14:paraId="70AA012A">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79B839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restart"/>
            <w:tcBorders>
              <w:top w:val="single" w:color="auto" w:sz="4" w:space="0"/>
              <w:left w:val="single" w:color="auto" w:sz="4" w:space="0"/>
              <w:bottom w:val="single" w:color="auto" w:sz="4" w:space="0"/>
              <w:right w:val="single" w:color="auto" w:sz="4" w:space="0"/>
            </w:tcBorders>
            <w:vAlign w:val="center"/>
          </w:tcPr>
          <w:p w14:paraId="1ECA75F3">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5"/>
                <w:sz w:val="18"/>
                <w:szCs w:val="18"/>
              </w:rPr>
              <w:t>土地资源</w:t>
            </w:r>
          </w:p>
        </w:tc>
        <w:tc>
          <w:tcPr>
            <w:tcW w:w="1675" w:type="dxa"/>
            <w:vMerge w:val="restart"/>
            <w:tcBorders>
              <w:top w:val="single" w:color="auto" w:sz="4" w:space="0"/>
              <w:left w:val="single" w:color="auto" w:sz="4" w:space="0"/>
              <w:bottom w:val="single" w:color="auto" w:sz="4" w:space="0"/>
              <w:right w:val="single" w:color="auto" w:sz="4" w:space="0"/>
            </w:tcBorders>
            <w:vAlign w:val="center"/>
          </w:tcPr>
          <w:p w14:paraId="38FEE8C2">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5"/>
                <w:sz w:val="18"/>
                <w:szCs w:val="18"/>
              </w:rPr>
              <w:t>土地利用现状</w:t>
            </w:r>
          </w:p>
        </w:tc>
        <w:tc>
          <w:tcPr>
            <w:tcW w:w="2595" w:type="dxa"/>
            <w:tcBorders>
              <w:top w:val="single" w:color="auto" w:sz="4" w:space="0"/>
              <w:left w:val="single" w:color="auto" w:sz="4" w:space="0"/>
              <w:bottom w:val="single" w:color="auto" w:sz="4" w:space="0"/>
              <w:right w:val="single" w:color="auto" w:sz="4" w:space="0"/>
            </w:tcBorders>
            <w:vAlign w:val="center"/>
          </w:tcPr>
          <w:p w14:paraId="2634228F">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5"/>
                <w:sz w:val="18"/>
                <w:szCs w:val="18"/>
              </w:rPr>
              <w:t>土地利用类型及面积</w:t>
            </w:r>
          </w:p>
        </w:tc>
        <w:tc>
          <w:tcPr>
            <w:tcW w:w="1523" w:type="dxa"/>
            <w:vMerge w:val="restart"/>
            <w:tcBorders>
              <w:top w:val="single" w:color="auto" w:sz="4" w:space="0"/>
              <w:left w:val="single" w:color="auto" w:sz="4" w:space="0"/>
              <w:right w:val="single" w:color="auto" w:sz="4" w:space="0"/>
            </w:tcBorders>
            <w:vAlign w:val="center"/>
          </w:tcPr>
          <w:p w14:paraId="391E97C0">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r>
              <w:rPr>
                <w:rFonts w:ascii="Times New Roman" w:hAnsi="Times New Roman" w:eastAsia="Times New Roman" w:cs="Times New Roman"/>
                <w:spacing w:val="-3"/>
                <w:sz w:val="18"/>
                <w:szCs w:val="18"/>
              </w:rPr>
              <w:t>TD/T1055</w:t>
            </w:r>
          </w:p>
          <w:p w14:paraId="65B06562">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r>
              <w:rPr>
                <w:rFonts w:ascii="Times New Roman" w:hAnsi="Times New Roman" w:eastAsia="Times New Roman" w:cs="Times New Roman"/>
                <w:spacing w:val="-3"/>
                <w:sz w:val="18"/>
                <w:szCs w:val="18"/>
              </w:rPr>
              <w:t>TD/T1010</w:t>
            </w:r>
          </w:p>
        </w:tc>
        <w:tc>
          <w:tcPr>
            <w:tcW w:w="760" w:type="dxa"/>
            <w:tcBorders>
              <w:top w:val="single" w:color="auto" w:sz="4" w:space="0"/>
              <w:left w:val="single" w:color="auto" w:sz="4" w:space="0"/>
              <w:bottom w:val="single" w:color="auto" w:sz="4" w:space="0"/>
              <w:right w:val="single" w:color="auto" w:sz="4" w:space="0"/>
            </w:tcBorders>
            <w:vAlign w:val="center"/>
          </w:tcPr>
          <w:p w14:paraId="3B2E4921">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宋体" w:hAnsi="宋体" w:eastAsia="宋体" w:cs="宋体"/>
                <w:snapToGrid w:val="0"/>
                <w:color w:val="000000"/>
                <w:spacing w:val="-5"/>
                <w:sz w:val="18"/>
                <w:szCs w:val="18"/>
                <w:lang w:val="en-US" w:eastAsia="en-US" w:bidi="ar-SA"/>
              </w:rPr>
            </w:pPr>
          </w:p>
        </w:tc>
      </w:tr>
      <w:tr w14:paraId="48E513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continue"/>
            <w:tcBorders>
              <w:top w:val="single" w:color="auto" w:sz="4" w:space="0"/>
              <w:left w:val="single" w:color="auto" w:sz="4" w:space="0"/>
              <w:bottom w:val="single" w:color="auto" w:sz="4" w:space="0"/>
              <w:right w:val="single" w:color="auto" w:sz="4" w:space="0"/>
            </w:tcBorders>
            <w:vAlign w:val="center"/>
          </w:tcPr>
          <w:p w14:paraId="2B7DEF2B">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1675" w:type="dxa"/>
            <w:vMerge w:val="continue"/>
            <w:tcBorders>
              <w:top w:val="single" w:color="auto" w:sz="4" w:space="0"/>
              <w:left w:val="single" w:color="auto" w:sz="4" w:space="0"/>
              <w:bottom w:val="single" w:color="auto" w:sz="4" w:space="0"/>
              <w:right w:val="single" w:color="auto" w:sz="4" w:space="0"/>
            </w:tcBorders>
            <w:vAlign w:val="center"/>
          </w:tcPr>
          <w:p w14:paraId="194D0FA1">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2595" w:type="dxa"/>
            <w:tcBorders>
              <w:top w:val="single" w:color="auto" w:sz="4" w:space="0"/>
              <w:left w:val="single" w:color="auto" w:sz="4" w:space="0"/>
              <w:right w:val="single" w:color="auto" w:sz="4" w:space="0"/>
            </w:tcBorders>
            <w:vAlign w:val="center"/>
          </w:tcPr>
          <w:p w14:paraId="3C5D4025">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5"/>
                <w:sz w:val="18"/>
                <w:szCs w:val="18"/>
              </w:rPr>
              <w:t>土地利用面积</w:t>
            </w:r>
          </w:p>
        </w:tc>
        <w:tc>
          <w:tcPr>
            <w:tcW w:w="1523" w:type="dxa"/>
            <w:vMerge w:val="continue"/>
            <w:tcBorders>
              <w:left w:val="single" w:color="auto" w:sz="4" w:space="0"/>
              <w:right w:val="single" w:color="auto" w:sz="4" w:space="0"/>
            </w:tcBorders>
            <w:vAlign w:val="center"/>
          </w:tcPr>
          <w:p w14:paraId="6072AF2B">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p>
        </w:tc>
        <w:tc>
          <w:tcPr>
            <w:tcW w:w="760" w:type="dxa"/>
            <w:tcBorders>
              <w:top w:val="single" w:color="auto" w:sz="4" w:space="0"/>
              <w:left w:val="single" w:color="auto" w:sz="4" w:space="0"/>
              <w:right w:val="single" w:color="auto" w:sz="4" w:space="0"/>
            </w:tcBorders>
            <w:vAlign w:val="center"/>
          </w:tcPr>
          <w:p w14:paraId="2AB6FBC2">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宋体" w:hAnsi="宋体" w:eastAsia="宋体" w:cs="宋体"/>
                <w:snapToGrid w:val="0"/>
                <w:color w:val="000000"/>
                <w:spacing w:val="-5"/>
                <w:sz w:val="18"/>
                <w:szCs w:val="18"/>
                <w:lang w:val="en-US" w:eastAsia="en-US" w:bidi="ar-SA"/>
              </w:rPr>
            </w:pPr>
          </w:p>
        </w:tc>
      </w:tr>
      <w:tr w14:paraId="40675A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restart"/>
            <w:tcBorders>
              <w:top w:val="single" w:color="auto" w:sz="4" w:space="0"/>
              <w:bottom w:val="single" w:color="auto" w:sz="4" w:space="0"/>
            </w:tcBorders>
            <w:vAlign w:val="center"/>
          </w:tcPr>
          <w:p w14:paraId="711B883E">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6"/>
                <w:sz w:val="18"/>
                <w:szCs w:val="18"/>
              </w:rPr>
              <w:t>生态系统</w:t>
            </w:r>
          </w:p>
        </w:tc>
        <w:tc>
          <w:tcPr>
            <w:tcW w:w="1675" w:type="dxa"/>
            <w:vMerge w:val="restart"/>
            <w:tcBorders>
              <w:top w:val="single" w:color="auto" w:sz="4" w:space="0"/>
              <w:bottom w:val="single" w:color="auto" w:sz="4" w:space="0"/>
            </w:tcBorders>
            <w:vAlign w:val="center"/>
          </w:tcPr>
          <w:p w14:paraId="5AB681BA">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4"/>
                <w:sz w:val="18"/>
                <w:szCs w:val="18"/>
              </w:rPr>
              <w:t>地表水环境</w:t>
            </w:r>
          </w:p>
        </w:tc>
        <w:tc>
          <w:tcPr>
            <w:tcW w:w="2595" w:type="dxa"/>
            <w:vAlign w:val="center"/>
          </w:tcPr>
          <w:p w14:paraId="269BAE03">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4"/>
                <w:sz w:val="18"/>
                <w:szCs w:val="18"/>
              </w:rPr>
              <w:t>地表水面积</w:t>
            </w:r>
          </w:p>
        </w:tc>
        <w:tc>
          <w:tcPr>
            <w:tcW w:w="1523" w:type="dxa"/>
            <w:vMerge w:val="restart"/>
            <w:tcBorders>
              <w:bottom w:val="nil"/>
            </w:tcBorders>
            <w:vAlign w:val="center"/>
          </w:tcPr>
          <w:p w14:paraId="3D6F8314">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p>
          <w:p w14:paraId="7A0475DF">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r>
              <w:rPr>
                <w:rFonts w:ascii="Times New Roman" w:hAnsi="Times New Roman" w:eastAsia="Times New Roman" w:cs="Times New Roman"/>
                <w:spacing w:val="-3"/>
                <w:sz w:val="18"/>
                <w:szCs w:val="18"/>
              </w:rPr>
              <w:t>HJ91.2</w:t>
            </w:r>
          </w:p>
        </w:tc>
        <w:tc>
          <w:tcPr>
            <w:tcW w:w="760" w:type="dxa"/>
            <w:vAlign w:val="center"/>
          </w:tcPr>
          <w:p w14:paraId="182AE386">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76D7CB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continue"/>
            <w:tcBorders>
              <w:top w:val="single" w:color="auto" w:sz="4" w:space="0"/>
              <w:bottom w:val="single" w:color="auto" w:sz="4" w:space="0"/>
            </w:tcBorders>
            <w:vAlign w:val="center"/>
          </w:tcPr>
          <w:p w14:paraId="5810839C">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1675" w:type="dxa"/>
            <w:vMerge w:val="continue"/>
            <w:tcBorders>
              <w:top w:val="single" w:color="auto" w:sz="4" w:space="0"/>
              <w:bottom w:val="single" w:color="auto" w:sz="4" w:space="0"/>
            </w:tcBorders>
            <w:vAlign w:val="center"/>
          </w:tcPr>
          <w:p w14:paraId="0C95E30C">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2595" w:type="dxa"/>
            <w:vAlign w:val="center"/>
          </w:tcPr>
          <w:p w14:paraId="6D3401FF">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z w:val="18"/>
                <w:szCs w:val="18"/>
              </w:rPr>
            </w:pPr>
            <w:r>
              <w:rPr>
                <w:spacing w:val="-2"/>
                <w:sz w:val="18"/>
                <w:szCs w:val="18"/>
              </w:rPr>
              <w:t>地表水环境质量</w:t>
            </w:r>
            <w:r>
              <w:rPr>
                <w:rFonts w:ascii="Times New Roman" w:hAnsi="Times New Roman" w:eastAsia="Times New Roman" w:cs="Times New Roman"/>
                <w:spacing w:val="-2"/>
                <w:sz w:val="18"/>
                <w:szCs w:val="18"/>
              </w:rPr>
              <w:t>e</w:t>
            </w:r>
          </w:p>
        </w:tc>
        <w:tc>
          <w:tcPr>
            <w:tcW w:w="1523" w:type="dxa"/>
            <w:vMerge w:val="continue"/>
            <w:tcBorders>
              <w:top w:val="nil"/>
              <w:bottom w:val="nil"/>
            </w:tcBorders>
            <w:vAlign w:val="center"/>
          </w:tcPr>
          <w:p w14:paraId="7F3D8E24">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p>
        </w:tc>
        <w:tc>
          <w:tcPr>
            <w:tcW w:w="760" w:type="dxa"/>
            <w:vAlign w:val="center"/>
          </w:tcPr>
          <w:p w14:paraId="7782FAAE">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30DB55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continue"/>
            <w:tcBorders>
              <w:top w:val="single" w:color="auto" w:sz="4" w:space="0"/>
              <w:bottom w:val="single" w:color="auto" w:sz="4" w:space="0"/>
            </w:tcBorders>
            <w:vAlign w:val="center"/>
          </w:tcPr>
          <w:p w14:paraId="4FB7913A">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1675" w:type="dxa"/>
            <w:vMerge w:val="continue"/>
            <w:tcBorders>
              <w:top w:val="single" w:color="auto" w:sz="4" w:space="0"/>
              <w:bottom w:val="single" w:color="auto" w:sz="4" w:space="0"/>
            </w:tcBorders>
            <w:vAlign w:val="center"/>
          </w:tcPr>
          <w:p w14:paraId="504B2C38">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2595" w:type="dxa"/>
            <w:vAlign w:val="center"/>
          </w:tcPr>
          <w:p w14:paraId="6EEC4B7D">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4"/>
                <w:sz w:val="18"/>
                <w:szCs w:val="18"/>
              </w:rPr>
              <w:t>地表水排泄</w:t>
            </w:r>
          </w:p>
        </w:tc>
        <w:tc>
          <w:tcPr>
            <w:tcW w:w="1523" w:type="dxa"/>
            <w:vMerge w:val="continue"/>
            <w:tcBorders>
              <w:top w:val="nil"/>
            </w:tcBorders>
            <w:vAlign w:val="center"/>
          </w:tcPr>
          <w:p w14:paraId="7A18F0DE">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p>
        </w:tc>
        <w:tc>
          <w:tcPr>
            <w:tcW w:w="760" w:type="dxa"/>
            <w:vAlign w:val="center"/>
          </w:tcPr>
          <w:p w14:paraId="29DD7B99">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7E6BBF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continue"/>
            <w:tcBorders>
              <w:top w:val="single" w:color="auto" w:sz="4" w:space="0"/>
              <w:bottom w:val="single" w:color="auto" w:sz="4" w:space="0"/>
            </w:tcBorders>
            <w:vAlign w:val="center"/>
          </w:tcPr>
          <w:p w14:paraId="69645811">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1675" w:type="dxa"/>
            <w:vMerge w:val="restart"/>
            <w:tcBorders>
              <w:top w:val="single" w:color="auto" w:sz="4" w:space="0"/>
              <w:bottom w:val="single" w:color="auto" w:sz="4" w:space="0"/>
            </w:tcBorders>
            <w:vAlign w:val="center"/>
          </w:tcPr>
          <w:p w14:paraId="383C7216">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5"/>
                <w:sz w:val="18"/>
                <w:szCs w:val="18"/>
              </w:rPr>
              <w:t>生态系统格局</w:t>
            </w:r>
          </w:p>
        </w:tc>
        <w:tc>
          <w:tcPr>
            <w:tcW w:w="2595" w:type="dxa"/>
            <w:vAlign w:val="center"/>
          </w:tcPr>
          <w:p w14:paraId="01F197C7">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4"/>
                <w:sz w:val="18"/>
                <w:szCs w:val="18"/>
              </w:rPr>
              <w:t>生态系统类型</w:t>
            </w:r>
            <w:r>
              <w:rPr>
                <w:rFonts w:ascii="Times New Roman" w:hAnsi="Times New Roman" w:eastAsia="Times New Roman" w:cs="Times New Roman"/>
                <w:spacing w:val="-4"/>
                <w:sz w:val="18"/>
                <w:szCs w:val="18"/>
              </w:rPr>
              <w:t>e</w:t>
            </w:r>
            <w:r>
              <w:rPr>
                <w:spacing w:val="-4"/>
                <w:sz w:val="18"/>
                <w:szCs w:val="18"/>
              </w:rPr>
              <w:t>比例</w:t>
            </w:r>
          </w:p>
        </w:tc>
        <w:tc>
          <w:tcPr>
            <w:tcW w:w="1523" w:type="dxa"/>
            <w:vMerge w:val="restart"/>
            <w:tcBorders>
              <w:bottom w:val="nil"/>
            </w:tcBorders>
            <w:vAlign w:val="center"/>
          </w:tcPr>
          <w:p w14:paraId="2C586258">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p>
        </w:tc>
        <w:tc>
          <w:tcPr>
            <w:tcW w:w="760" w:type="dxa"/>
            <w:vAlign w:val="center"/>
          </w:tcPr>
          <w:p w14:paraId="55C19486">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7C4438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continue"/>
            <w:tcBorders>
              <w:top w:val="single" w:color="auto" w:sz="4" w:space="0"/>
              <w:bottom w:val="single" w:color="auto" w:sz="4" w:space="0"/>
            </w:tcBorders>
            <w:vAlign w:val="center"/>
          </w:tcPr>
          <w:p w14:paraId="06951402">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1675" w:type="dxa"/>
            <w:vMerge w:val="continue"/>
            <w:tcBorders>
              <w:top w:val="single" w:color="auto" w:sz="4" w:space="0"/>
              <w:bottom w:val="single" w:color="auto" w:sz="4" w:space="0"/>
            </w:tcBorders>
            <w:vAlign w:val="center"/>
          </w:tcPr>
          <w:p w14:paraId="202D39B7">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2595" w:type="dxa"/>
            <w:vAlign w:val="center"/>
          </w:tcPr>
          <w:p w14:paraId="020BE2AC">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4"/>
                <w:sz w:val="18"/>
                <w:szCs w:val="18"/>
              </w:rPr>
              <w:t>平均斑块面积</w:t>
            </w:r>
          </w:p>
        </w:tc>
        <w:tc>
          <w:tcPr>
            <w:tcW w:w="1523" w:type="dxa"/>
            <w:vMerge w:val="continue"/>
            <w:tcBorders>
              <w:top w:val="nil"/>
            </w:tcBorders>
            <w:vAlign w:val="center"/>
          </w:tcPr>
          <w:p w14:paraId="1D039503">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p>
        </w:tc>
        <w:tc>
          <w:tcPr>
            <w:tcW w:w="760" w:type="dxa"/>
            <w:vAlign w:val="center"/>
          </w:tcPr>
          <w:p w14:paraId="2D78543B">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62403A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continue"/>
            <w:tcBorders>
              <w:top w:val="single" w:color="auto" w:sz="4" w:space="0"/>
              <w:bottom w:val="single" w:color="auto" w:sz="4" w:space="0"/>
            </w:tcBorders>
            <w:vAlign w:val="center"/>
          </w:tcPr>
          <w:p w14:paraId="60382A8A">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1675" w:type="dxa"/>
            <w:vMerge w:val="continue"/>
            <w:tcBorders>
              <w:top w:val="single" w:color="auto" w:sz="4" w:space="0"/>
              <w:bottom w:val="single" w:color="auto" w:sz="4" w:space="0"/>
            </w:tcBorders>
            <w:vAlign w:val="center"/>
          </w:tcPr>
          <w:p w14:paraId="65C4D835">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2595" w:type="dxa"/>
            <w:vAlign w:val="center"/>
          </w:tcPr>
          <w:p w14:paraId="4BA74E8E">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4"/>
                <w:sz w:val="18"/>
                <w:szCs w:val="18"/>
              </w:rPr>
              <w:t>边界密度</w:t>
            </w:r>
          </w:p>
        </w:tc>
        <w:tc>
          <w:tcPr>
            <w:tcW w:w="1523" w:type="dxa"/>
            <w:vMerge w:val="restart"/>
            <w:tcBorders>
              <w:bottom w:val="nil"/>
            </w:tcBorders>
            <w:vAlign w:val="center"/>
          </w:tcPr>
          <w:p w14:paraId="6C7D8D9A">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r>
              <w:rPr>
                <w:rFonts w:ascii="Times New Roman" w:hAnsi="Times New Roman" w:eastAsia="Times New Roman" w:cs="Times New Roman"/>
                <w:spacing w:val="-3"/>
                <w:sz w:val="18"/>
                <w:szCs w:val="18"/>
              </w:rPr>
              <w:t>GB/T42340</w:t>
            </w:r>
          </w:p>
        </w:tc>
        <w:tc>
          <w:tcPr>
            <w:tcW w:w="760" w:type="dxa"/>
            <w:vAlign w:val="center"/>
          </w:tcPr>
          <w:p w14:paraId="27AE3BFE">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5F2F0C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continue"/>
            <w:tcBorders>
              <w:top w:val="single" w:color="auto" w:sz="4" w:space="0"/>
              <w:bottom w:val="single" w:color="auto" w:sz="4" w:space="0"/>
            </w:tcBorders>
            <w:vAlign w:val="center"/>
          </w:tcPr>
          <w:p w14:paraId="5507347D">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1675" w:type="dxa"/>
            <w:vMerge w:val="continue"/>
            <w:tcBorders>
              <w:top w:val="single" w:color="auto" w:sz="4" w:space="0"/>
              <w:bottom w:val="single" w:color="auto" w:sz="4" w:space="0"/>
            </w:tcBorders>
            <w:vAlign w:val="center"/>
          </w:tcPr>
          <w:p w14:paraId="107582B2">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2595" w:type="dxa"/>
            <w:vAlign w:val="center"/>
          </w:tcPr>
          <w:p w14:paraId="07238DA1">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7"/>
                <w:sz w:val="18"/>
                <w:szCs w:val="18"/>
              </w:rPr>
              <w:t>聚集度指数</w:t>
            </w:r>
          </w:p>
        </w:tc>
        <w:tc>
          <w:tcPr>
            <w:tcW w:w="1523" w:type="dxa"/>
            <w:vMerge w:val="continue"/>
            <w:tcBorders>
              <w:top w:val="nil"/>
            </w:tcBorders>
            <w:vAlign w:val="center"/>
          </w:tcPr>
          <w:p w14:paraId="79FD1E58">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p>
        </w:tc>
        <w:tc>
          <w:tcPr>
            <w:tcW w:w="760" w:type="dxa"/>
            <w:vAlign w:val="center"/>
          </w:tcPr>
          <w:p w14:paraId="7E821365">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6338E4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continue"/>
            <w:tcBorders>
              <w:top w:val="single" w:color="auto" w:sz="4" w:space="0"/>
              <w:bottom w:val="single" w:color="auto" w:sz="4" w:space="0"/>
            </w:tcBorders>
            <w:vAlign w:val="center"/>
          </w:tcPr>
          <w:p w14:paraId="0E8823D3">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1675" w:type="dxa"/>
            <w:vMerge w:val="restart"/>
            <w:tcBorders>
              <w:top w:val="single" w:color="auto" w:sz="4" w:space="0"/>
              <w:bottom w:val="single" w:color="auto" w:sz="4" w:space="0"/>
            </w:tcBorders>
            <w:vAlign w:val="center"/>
          </w:tcPr>
          <w:p w14:paraId="2D7BEAE9">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5"/>
                <w:sz w:val="18"/>
                <w:szCs w:val="18"/>
              </w:rPr>
              <w:t>生态系统服务</w:t>
            </w:r>
          </w:p>
        </w:tc>
        <w:tc>
          <w:tcPr>
            <w:tcW w:w="2595" w:type="dxa"/>
            <w:vAlign w:val="center"/>
          </w:tcPr>
          <w:p w14:paraId="05EFA5E5">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5"/>
                <w:sz w:val="18"/>
                <w:szCs w:val="18"/>
              </w:rPr>
              <w:t>水源涵养量</w:t>
            </w:r>
          </w:p>
        </w:tc>
        <w:tc>
          <w:tcPr>
            <w:tcW w:w="1523" w:type="dxa"/>
            <w:vMerge w:val="restart"/>
            <w:tcBorders>
              <w:bottom w:val="nil"/>
            </w:tcBorders>
            <w:vAlign w:val="center"/>
          </w:tcPr>
          <w:p w14:paraId="5C23486B">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r>
              <w:rPr>
                <w:rFonts w:ascii="Times New Roman" w:hAnsi="Times New Roman" w:eastAsia="Times New Roman" w:cs="Times New Roman"/>
                <w:spacing w:val="-3"/>
                <w:sz w:val="18"/>
                <w:szCs w:val="18"/>
              </w:rPr>
              <w:t>HJ1173</w:t>
            </w:r>
          </w:p>
          <w:p w14:paraId="509E1580">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r>
              <w:rPr>
                <w:rFonts w:ascii="Times New Roman" w:hAnsi="Times New Roman" w:eastAsia="Times New Roman" w:cs="Times New Roman"/>
                <w:spacing w:val="-3"/>
                <w:sz w:val="18"/>
                <w:szCs w:val="18"/>
              </w:rPr>
              <w:t>LY/T2988</w:t>
            </w:r>
          </w:p>
        </w:tc>
        <w:tc>
          <w:tcPr>
            <w:tcW w:w="760" w:type="dxa"/>
            <w:vAlign w:val="center"/>
          </w:tcPr>
          <w:p w14:paraId="5BABA72A">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720053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continue"/>
            <w:tcBorders>
              <w:top w:val="single" w:color="auto" w:sz="4" w:space="0"/>
              <w:bottom w:val="single" w:color="auto" w:sz="4" w:space="0"/>
            </w:tcBorders>
            <w:vAlign w:val="center"/>
          </w:tcPr>
          <w:p w14:paraId="1890BE5B">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1675" w:type="dxa"/>
            <w:vMerge w:val="continue"/>
            <w:tcBorders>
              <w:top w:val="single" w:color="auto" w:sz="4" w:space="0"/>
              <w:bottom w:val="single" w:color="auto" w:sz="4" w:space="0"/>
            </w:tcBorders>
            <w:vAlign w:val="center"/>
          </w:tcPr>
          <w:p w14:paraId="03E36C6C">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2595" w:type="dxa"/>
            <w:vAlign w:val="center"/>
          </w:tcPr>
          <w:p w14:paraId="46C32A06">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8"/>
                <w:sz w:val="18"/>
                <w:szCs w:val="18"/>
              </w:rPr>
              <w:t>防风固沙量</w:t>
            </w:r>
          </w:p>
        </w:tc>
        <w:tc>
          <w:tcPr>
            <w:tcW w:w="1523" w:type="dxa"/>
            <w:vMerge w:val="continue"/>
            <w:tcBorders>
              <w:top w:val="nil"/>
              <w:bottom w:val="nil"/>
            </w:tcBorders>
            <w:vAlign w:val="center"/>
          </w:tcPr>
          <w:p w14:paraId="48300A43">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p>
        </w:tc>
        <w:tc>
          <w:tcPr>
            <w:tcW w:w="760" w:type="dxa"/>
            <w:vAlign w:val="center"/>
          </w:tcPr>
          <w:p w14:paraId="76067D42">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482BED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continue"/>
            <w:tcBorders>
              <w:top w:val="single" w:color="auto" w:sz="4" w:space="0"/>
              <w:bottom w:val="single" w:color="auto" w:sz="4" w:space="0"/>
            </w:tcBorders>
            <w:vAlign w:val="center"/>
          </w:tcPr>
          <w:p w14:paraId="119AA415">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1675" w:type="dxa"/>
            <w:vMerge w:val="continue"/>
            <w:tcBorders>
              <w:top w:val="single" w:color="auto" w:sz="4" w:space="0"/>
              <w:bottom w:val="single" w:color="auto" w:sz="4" w:space="0"/>
            </w:tcBorders>
            <w:vAlign w:val="center"/>
          </w:tcPr>
          <w:p w14:paraId="74956250">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2595" w:type="dxa"/>
            <w:vAlign w:val="center"/>
          </w:tcPr>
          <w:p w14:paraId="21E9891B">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4"/>
                <w:sz w:val="18"/>
                <w:szCs w:val="18"/>
              </w:rPr>
              <w:t>土壤保持量</w:t>
            </w:r>
          </w:p>
        </w:tc>
        <w:tc>
          <w:tcPr>
            <w:tcW w:w="1523" w:type="dxa"/>
            <w:vMerge w:val="continue"/>
            <w:tcBorders>
              <w:top w:val="nil"/>
              <w:bottom w:val="nil"/>
            </w:tcBorders>
            <w:vAlign w:val="center"/>
          </w:tcPr>
          <w:p w14:paraId="173D95F8">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p>
        </w:tc>
        <w:tc>
          <w:tcPr>
            <w:tcW w:w="760" w:type="dxa"/>
            <w:vAlign w:val="center"/>
          </w:tcPr>
          <w:p w14:paraId="30AF17AC">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19EA3A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continue"/>
            <w:tcBorders>
              <w:top w:val="single" w:color="auto" w:sz="4" w:space="0"/>
              <w:bottom w:val="single" w:color="auto" w:sz="4" w:space="0"/>
            </w:tcBorders>
            <w:vAlign w:val="center"/>
          </w:tcPr>
          <w:p w14:paraId="583EC8E1">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1675" w:type="dxa"/>
            <w:vMerge w:val="continue"/>
            <w:tcBorders>
              <w:top w:val="single" w:color="auto" w:sz="4" w:space="0"/>
              <w:bottom w:val="single" w:color="auto" w:sz="4" w:space="0"/>
            </w:tcBorders>
            <w:vAlign w:val="center"/>
          </w:tcPr>
          <w:p w14:paraId="7BAD3860">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2595" w:type="dxa"/>
            <w:vAlign w:val="center"/>
          </w:tcPr>
          <w:p w14:paraId="3F58B682">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4"/>
                <w:sz w:val="18"/>
                <w:szCs w:val="18"/>
              </w:rPr>
              <w:t>生物多样性维护</w:t>
            </w:r>
          </w:p>
        </w:tc>
        <w:tc>
          <w:tcPr>
            <w:tcW w:w="1523" w:type="dxa"/>
            <w:vMerge w:val="continue"/>
            <w:tcBorders>
              <w:top w:val="nil"/>
              <w:bottom w:val="nil"/>
            </w:tcBorders>
            <w:vAlign w:val="center"/>
          </w:tcPr>
          <w:p w14:paraId="495E67FA">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p>
        </w:tc>
        <w:tc>
          <w:tcPr>
            <w:tcW w:w="760" w:type="dxa"/>
            <w:vAlign w:val="center"/>
          </w:tcPr>
          <w:p w14:paraId="45C7B7FD">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3DBBA0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528" w:type="dxa"/>
            <w:vMerge w:val="continue"/>
            <w:tcBorders>
              <w:top w:val="single" w:color="auto" w:sz="4" w:space="0"/>
              <w:bottom w:val="single" w:color="auto" w:sz="4" w:space="0"/>
            </w:tcBorders>
            <w:vAlign w:val="center"/>
          </w:tcPr>
          <w:p w14:paraId="49CF64EC">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1675" w:type="dxa"/>
            <w:vMerge w:val="continue"/>
            <w:tcBorders>
              <w:top w:val="single" w:color="auto" w:sz="4" w:space="0"/>
              <w:bottom w:val="single" w:color="auto" w:sz="4" w:space="0"/>
            </w:tcBorders>
            <w:vAlign w:val="center"/>
          </w:tcPr>
          <w:p w14:paraId="345F93F7">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2595" w:type="dxa"/>
            <w:vAlign w:val="center"/>
          </w:tcPr>
          <w:p w14:paraId="51BC4997">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4"/>
                <w:sz w:val="18"/>
                <w:szCs w:val="18"/>
              </w:rPr>
              <w:t>碳储量</w:t>
            </w:r>
          </w:p>
        </w:tc>
        <w:tc>
          <w:tcPr>
            <w:tcW w:w="1523" w:type="dxa"/>
            <w:vMerge w:val="continue"/>
            <w:tcBorders>
              <w:top w:val="nil"/>
            </w:tcBorders>
            <w:vAlign w:val="center"/>
          </w:tcPr>
          <w:p w14:paraId="3F5FFE0C">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p>
        </w:tc>
        <w:tc>
          <w:tcPr>
            <w:tcW w:w="760" w:type="dxa"/>
            <w:vAlign w:val="center"/>
          </w:tcPr>
          <w:p w14:paraId="60A1E42E">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7D35C5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6" w:hRule="atLeast"/>
        </w:trPr>
        <w:tc>
          <w:tcPr>
            <w:tcW w:w="1528" w:type="dxa"/>
            <w:vMerge w:val="continue"/>
            <w:tcBorders>
              <w:top w:val="single" w:color="auto" w:sz="4" w:space="0"/>
              <w:bottom w:val="single" w:color="auto" w:sz="4" w:space="0"/>
            </w:tcBorders>
            <w:vAlign w:val="center"/>
          </w:tcPr>
          <w:p w14:paraId="61F7659D">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c>
          <w:tcPr>
            <w:tcW w:w="1675" w:type="dxa"/>
            <w:tcBorders>
              <w:top w:val="single" w:color="auto" w:sz="4" w:space="0"/>
              <w:bottom w:val="single" w:color="auto" w:sz="4" w:space="0"/>
            </w:tcBorders>
            <w:vAlign w:val="center"/>
          </w:tcPr>
          <w:p w14:paraId="77A51D3A">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rPr>
            </w:pPr>
            <w:r>
              <w:rPr>
                <w:spacing w:val="-5"/>
                <w:sz w:val="18"/>
                <w:szCs w:val="18"/>
              </w:rPr>
              <w:t>生态系统质量</w:t>
            </w:r>
          </w:p>
        </w:tc>
        <w:tc>
          <w:tcPr>
            <w:tcW w:w="2595" w:type="dxa"/>
            <w:vAlign w:val="center"/>
          </w:tcPr>
          <w:p w14:paraId="4DDAAF61">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hint="eastAsia"/>
                <w:sz w:val="18"/>
                <w:szCs w:val="18"/>
                <w:lang w:eastAsia="zh-CN"/>
              </w:rPr>
            </w:pPr>
            <w:r>
              <w:rPr>
                <w:spacing w:val="-4"/>
                <w:sz w:val="18"/>
                <w:szCs w:val="18"/>
                <w:lang w:eastAsia="zh-CN"/>
              </w:rPr>
              <w:t>生态系统质量综合指数</w:t>
            </w:r>
          </w:p>
        </w:tc>
        <w:tc>
          <w:tcPr>
            <w:tcW w:w="1523" w:type="dxa"/>
            <w:tcBorders>
              <w:bottom w:val="nil"/>
            </w:tcBorders>
            <w:vAlign w:val="center"/>
          </w:tcPr>
          <w:p w14:paraId="09AC0195">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rPr>
                <w:rFonts w:ascii="Times New Roman" w:hAnsi="Times New Roman" w:eastAsia="Times New Roman" w:cs="Times New Roman"/>
                <w:spacing w:val="-3"/>
                <w:sz w:val="18"/>
                <w:szCs w:val="18"/>
              </w:rPr>
            </w:pPr>
            <w:r>
              <w:rPr>
                <w:rFonts w:ascii="Times New Roman" w:hAnsi="Times New Roman" w:eastAsia="Times New Roman" w:cs="Times New Roman"/>
                <w:spacing w:val="-3"/>
                <w:sz w:val="18"/>
                <w:szCs w:val="18"/>
              </w:rPr>
              <w:t>GB/T42340</w:t>
            </w:r>
          </w:p>
        </w:tc>
        <w:tc>
          <w:tcPr>
            <w:tcW w:w="760" w:type="dxa"/>
            <w:tcBorders>
              <w:bottom w:val="single" w:color="auto" w:sz="4" w:space="0"/>
            </w:tcBorders>
            <w:vAlign w:val="center"/>
          </w:tcPr>
          <w:p w14:paraId="26C56162">
            <w:pPr>
              <w:keepNext w:val="0"/>
              <w:keepLines w:val="0"/>
              <w:pageBreakBefore w:val="0"/>
              <w:widowControl w:val="0"/>
              <w:kinsoku/>
              <w:wordWrap/>
              <w:overflowPunct/>
              <w:topLinePunct w:val="0"/>
              <w:autoSpaceDE w:val="0"/>
              <w:autoSpaceDN w:val="0"/>
              <w:bidi w:val="0"/>
              <w:adjustRightInd/>
              <w:snapToGrid/>
              <w:spacing w:line="240" w:lineRule="auto"/>
              <w:ind w:left="0" w:right="0" w:firstLine="0"/>
              <w:jc w:val="center"/>
              <w:textAlignment w:val="baseline"/>
            </w:pPr>
          </w:p>
        </w:tc>
      </w:tr>
      <w:tr w14:paraId="6F79F148">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774" w:hRule="atLeast"/>
        </w:trPr>
        <w:tc>
          <w:tcPr>
            <w:tcW w:w="8081" w:type="dxa"/>
            <w:gridSpan w:val="5"/>
            <w:tcBorders>
              <w:top w:val="single" w:color="auto" w:sz="4" w:space="0"/>
              <w:left w:val="single" w:color="auto" w:sz="4" w:space="0"/>
              <w:bottom w:val="single" w:color="auto" w:sz="4" w:space="0"/>
              <w:right w:val="single" w:color="auto" w:sz="4" w:space="0"/>
            </w:tcBorders>
            <w:vAlign w:val="center"/>
          </w:tcPr>
          <w:p w14:paraId="4E5840B1">
            <w:pPr>
              <w:pStyle w:val="23"/>
              <w:keepNext w:val="0"/>
              <w:keepLines w:val="0"/>
              <w:pageBreakBefore w:val="0"/>
              <w:widowControl w:val="0"/>
              <w:kinsoku/>
              <w:wordWrap/>
              <w:overflowPunct w:val="0"/>
              <w:topLinePunct w:val="0"/>
              <w:autoSpaceDE w:val="0"/>
              <w:autoSpaceDN w:val="0"/>
              <w:bidi w:val="0"/>
              <w:adjustRightInd/>
              <w:snapToGrid/>
              <w:spacing w:line="240" w:lineRule="auto"/>
              <w:ind w:left="0" w:right="0" w:firstLine="416" w:firstLineChars="200"/>
              <w:jc w:val="both"/>
              <w:textAlignment w:val="baseline"/>
              <w:rPr>
                <w:rFonts w:hint="eastAsia" w:ascii="宋体" w:hAnsi="宋体" w:eastAsia="宋体" w:cs="宋体"/>
                <w:sz w:val="21"/>
                <w:szCs w:val="21"/>
                <w:lang w:eastAsia="zh-CN"/>
              </w:rPr>
            </w:pPr>
            <w:r>
              <w:rPr>
                <w:rFonts w:hint="eastAsia" w:ascii="宋体" w:hAnsi="宋体" w:eastAsia="宋体" w:cs="宋体"/>
                <w:spacing w:val="-1"/>
                <w:position w:val="5"/>
                <w:sz w:val="21"/>
                <w:szCs w:val="21"/>
                <w:lang w:eastAsia="zh-CN"/>
              </w:rPr>
              <w:t>a、</w:t>
            </w:r>
            <w:r>
              <w:rPr>
                <w:rFonts w:hint="eastAsia" w:ascii="宋体" w:hAnsi="宋体" w:eastAsia="宋体" w:cs="宋体"/>
                <w:spacing w:val="-1"/>
                <w:sz w:val="21"/>
                <w:szCs w:val="21"/>
                <w:lang w:eastAsia="zh-CN"/>
              </w:rPr>
              <w:t>地下水质量指标包括：色、嗅和味、浑浊度、肉眼可见物、pH、总硬度、溶解性总固体、硫酸盐</w:t>
            </w:r>
            <w:r>
              <w:rPr>
                <w:rFonts w:hint="eastAsia" w:ascii="宋体" w:hAnsi="宋体" w:eastAsia="宋体" w:cs="宋体"/>
                <w:spacing w:val="-2"/>
                <w:sz w:val="21"/>
                <w:szCs w:val="21"/>
                <w:lang w:eastAsia="zh-CN"/>
              </w:rPr>
              <w:t>、氯化物、铁、锰、铜、锌、铝、挥发性酚类、阴离子表面活性剂、耗氧量、氨</w:t>
            </w:r>
            <w:r>
              <w:rPr>
                <w:rFonts w:hint="eastAsia" w:ascii="宋体" w:hAnsi="宋体" w:eastAsia="宋体" w:cs="宋体"/>
                <w:spacing w:val="-3"/>
                <w:sz w:val="21"/>
                <w:szCs w:val="21"/>
                <w:lang w:eastAsia="zh-CN"/>
              </w:rPr>
              <w:t>氮、硫化物、钠、总大肠杆菌</w:t>
            </w:r>
            <w:r>
              <w:rPr>
                <w:rFonts w:hint="eastAsia" w:ascii="宋体" w:hAnsi="宋体" w:eastAsia="宋体" w:cs="宋体"/>
                <w:spacing w:val="-5"/>
                <w:sz w:val="21"/>
                <w:szCs w:val="21"/>
                <w:lang w:eastAsia="zh-CN"/>
              </w:rPr>
              <w:t>群、菌落总数、亚硝酸盐、硝酸盐、氰化物、氟化物、碘化物、汞、砷、硒、镉、铬、铅、三氯甲烷、</w:t>
            </w:r>
            <w:r>
              <w:rPr>
                <w:rFonts w:hint="eastAsia" w:ascii="宋体" w:hAnsi="宋体" w:eastAsia="宋体" w:cs="宋体"/>
                <w:spacing w:val="-3"/>
                <w:sz w:val="21"/>
                <w:szCs w:val="21"/>
                <w:lang w:eastAsia="zh-CN"/>
              </w:rPr>
              <w:t>四氯化碳、苯、甲苯、总</w:t>
            </w:r>
            <w:r>
              <w:rPr>
                <w:rFonts w:hint="eastAsia" w:ascii="宋体" w:hAnsi="宋体" w:eastAsia="宋体" w:cs="宋体"/>
                <w:spacing w:val="-3"/>
                <w:sz w:val="21"/>
                <w:szCs w:val="21"/>
              </w:rPr>
              <w:t>α</w:t>
            </w:r>
            <w:r>
              <w:rPr>
                <w:rFonts w:hint="eastAsia" w:ascii="宋体" w:hAnsi="宋体" w:eastAsia="宋体" w:cs="宋体"/>
                <w:spacing w:val="-3"/>
                <w:sz w:val="21"/>
                <w:szCs w:val="21"/>
                <w:lang w:eastAsia="zh-CN"/>
              </w:rPr>
              <w:t>放射物、总</w:t>
            </w:r>
            <w:r>
              <w:rPr>
                <w:rFonts w:hint="eastAsia" w:ascii="宋体" w:hAnsi="宋体" w:eastAsia="宋体" w:cs="宋体"/>
                <w:spacing w:val="-3"/>
                <w:sz w:val="21"/>
                <w:szCs w:val="21"/>
              </w:rPr>
              <w:t>β</w:t>
            </w:r>
            <w:r>
              <w:rPr>
                <w:rFonts w:hint="eastAsia" w:ascii="宋体" w:hAnsi="宋体" w:eastAsia="宋体" w:cs="宋体"/>
                <w:spacing w:val="-3"/>
                <w:sz w:val="21"/>
                <w:szCs w:val="21"/>
                <w:lang w:eastAsia="zh-CN"/>
              </w:rPr>
              <w:t>放射物共39项地下水质量常规指标。</w:t>
            </w:r>
          </w:p>
          <w:p w14:paraId="2AB69773">
            <w:pPr>
              <w:pStyle w:val="23"/>
              <w:keepNext w:val="0"/>
              <w:keepLines w:val="0"/>
              <w:pageBreakBefore w:val="0"/>
              <w:widowControl w:val="0"/>
              <w:kinsoku/>
              <w:wordWrap/>
              <w:overflowPunct w:val="0"/>
              <w:topLinePunct w:val="0"/>
              <w:autoSpaceDE w:val="0"/>
              <w:autoSpaceDN w:val="0"/>
              <w:bidi w:val="0"/>
              <w:adjustRightInd/>
              <w:snapToGrid/>
              <w:spacing w:line="240" w:lineRule="auto"/>
              <w:ind w:left="0" w:right="0" w:firstLine="420" w:firstLineChars="200"/>
              <w:jc w:val="both"/>
              <w:textAlignment w:val="baseline"/>
              <w:rPr>
                <w:rFonts w:hint="eastAsia" w:ascii="宋体" w:hAnsi="宋体" w:eastAsia="宋体" w:cs="宋体"/>
                <w:sz w:val="21"/>
                <w:szCs w:val="21"/>
                <w:lang w:eastAsia="zh-CN"/>
              </w:rPr>
            </w:pPr>
            <w:r>
              <w:rPr>
                <w:rFonts w:hint="eastAsia" w:ascii="宋体" w:hAnsi="宋体" w:eastAsia="宋体" w:cs="宋体"/>
                <w:position w:val="5"/>
                <w:sz w:val="21"/>
                <w:szCs w:val="21"/>
                <w:lang w:eastAsia="zh-CN"/>
              </w:rPr>
              <w:t>b</w:t>
            </w:r>
            <w:r>
              <w:rPr>
                <w:rFonts w:hint="eastAsia" w:ascii="宋体" w:hAnsi="宋体" w:eastAsia="宋体" w:cs="宋体"/>
                <w:position w:val="4"/>
                <w:sz w:val="21"/>
                <w:szCs w:val="21"/>
                <w:lang w:eastAsia="zh-CN"/>
              </w:rPr>
              <w:t>、</w:t>
            </w:r>
            <w:r>
              <w:rPr>
                <w:rFonts w:hint="eastAsia" w:ascii="宋体" w:hAnsi="宋体" w:eastAsia="宋体" w:cs="宋体"/>
                <w:sz w:val="21"/>
                <w:szCs w:val="21"/>
                <w:lang w:eastAsia="zh-CN"/>
              </w:rPr>
              <w:t>土壤污染项目包括：镉、铬、汞、砷、铅、铜、锌</w:t>
            </w:r>
            <w:r>
              <w:rPr>
                <w:rFonts w:hint="eastAsia" w:ascii="宋体" w:hAnsi="宋体" w:eastAsia="宋体" w:cs="宋体"/>
                <w:spacing w:val="-1"/>
                <w:sz w:val="21"/>
                <w:szCs w:val="21"/>
                <w:lang w:eastAsia="zh-CN"/>
              </w:rPr>
              <w:t>、镍、六六六总量、滴滴涕总量、苯并[a]芘。</w:t>
            </w:r>
          </w:p>
          <w:p w14:paraId="39DCE5C1">
            <w:pPr>
              <w:pStyle w:val="23"/>
              <w:keepNext w:val="0"/>
              <w:keepLines w:val="0"/>
              <w:pageBreakBefore w:val="0"/>
              <w:widowControl w:val="0"/>
              <w:kinsoku/>
              <w:wordWrap/>
              <w:overflowPunct w:val="0"/>
              <w:topLinePunct w:val="0"/>
              <w:autoSpaceDE w:val="0"/>
              <w:autoSpaceDN w:val="0"/>
              <w:bidi w:val="0"/>
              <w:adjustRightInd/>
              <w:snapToGrid/>
              <w:spacing w:line="240" w:lineRule="auto"/>
              <w:ind w:left="0" w:right="0" w:firstLine="408" w:firstLineChars="200"/>
              <w:jc w:val="both"/>
              <w:textAlignment w:val="baseline"/>
              <w:rPr>
                <w:rFonts w:hint="eastAsia" w:ascii="宋体" w:hAnsi="宋体" w:eastAsia="宋体" w:cs="宋体"/>
                <w:sz w:val="21"/>
                <w:szCs w:val="21"/>
                <w:lang w:eastAsia="zh-CN"/>
              </w:rPr>
            </w:pPr>
            <w:r>
              <w:rPr>
                <w:rFonts w:hint="eastAsia" w:ascii="宋体" w:hAnsi="宋体" w:eastAsia="宋体" w:cs="宋体"/>
                <w:spacing w:val="-3"/>
                <w:position w:val="5"/>
                <w:sz w:val="21"/>
                <w:szCs w:val="21"/>
                <w:lang w:eastAsia="zh-CN"/>
              </w:rPr>
              <w:t>c</w:t>
            </w:r>
            <w:r>
              <w:rPr>
                <w:rFonts w:hint="eastAsia" w:ascii="宋体" w:hAnsi="宋体" w:eastAsia="宋体" w:cs="宋体"/>
                <w:spacing w:val="-3"/>
                <w:position w:val="4"/>
                <w:sz w:val="21"/>
                <w:szCs w:val="21"/>
                <w:lang w:eastAsia="zh-CN"/>
              </w:rPr>
              <w:t>、</w:t>
            </w:r>
            <w:r>
              <w:rPr>
                <w:rFonts w:hint="eastAsia" w:ascii="宋体" w:hAnsi="宋体" w:eastAsia="宋体" w:cs="宋体"/>
                <w:spacing w:val="-3"/>
                <w:sz w:val="21"/>
                <w:szCs w:val="21"/>
                <w:lang w:eastAsia="zh-CN"/>
              </w:rPr>
              <w:t>土壤微量项目包括：铁、锰、硼、钼。</w:t>
            </w:r>
          </w:p>
          <w:p w14:paraId="6A66E1D2">
            <w:pPr>
              <w:pStyle w:val="23"/>
              <w:keepNext w:val="0"/>
              <w:keepLines w:val="0"/>
              <w:pageBreakBefore w:val="0"/>
              <w:widowControl w:val="0"/>
              <w:kinsoku/>
              <w:wordWrap/>
              <w:overflowPunct w:val="0"/>
              <w:topLinePunct w:val="0"/>
              <w:autoSpaceDE w:val="0"/>
              <w:autoSpaceDN w:val="0"/>
              <w:bidi w:val="0"/>
              <w:adjustRightInd/>
              <w:snapToGrid/>
              <w:spacing w:line="240" w:lineRule="auto"/>
              <w:ind w:left="0" w:right="0" w:firstLine="416" w:firstLineChars="200"/>
              <w:jc w:val="both"/>
              <w:textAlignment w:val="baseline"/>
              <w:rPr>
                <w:rFonts w:hint="eastAsia" w:ascii="宋体" w:hAnsi="宋体" w:eastAsia="宋体" w:cs="宋体"/>
                <w:sz w:val="21"/>
                <w:szCs w:val="21"/>
                <w:lang w:eastAsia="zh-CN"/>
              </w:rPr>
            </w:pPr>
            <w:r>
              <w:rPr>
                <w:rFonts w:hint="eastAsia" w:ascii="宋体" w:hAnsi="宋体" w:eastAsia="宋体" w:cs="宋体"/>
                <w:spacing w:val="-1"/>
                <w:position w:val="5"/>
                <w:sz w:val="21"/>
                <w:szCs w:val="21"/>
                <w:lang w:eastAsia="zh-CN"/>
              </w:rPr>
              <w:t>d</w:t>
            </w:r>
            <w:r>
              <w:rPr>
                <w:rFonts w:hint="eastAsia" w:ascii="宋体" w:hAnsi="宋体" w:eastAsia="宋体" w:cs="宋体"/>
                <w:spacing w:val="-1"/>
                <w:position w:val="4"/>
                <w:sz w:val="21"/>
                <w:szCs w:val="21"/>
                <w:lang w:eastAsia="zh-CN"/>
              </w:rPr>
              <w:t>、</w:t>
            </w:r>
            <w:r>
              <w:rPr>
                <w:rFonts w:hint="eastAsia" w:ascii="宋体" w:hAnsi="宋体" w:eastAsia="宋体" w:cs="宋体"/>
                <w:spacing w:val="-1"/>
                <w:sz w:val="21"/>
                <w:szCs w:val="21"/>
                <w:lang w:eastAsia="zh-CN"/>
              </w:rPr>
              <w:t>地表水环境质量指标：水温、pH</w:t>
            </w:r>
            <w:r>
              <w:rPr>
                <w:rFonts w:hint="eastAsia" w:ascii="宋体" w:hAnsi="宋体" w:eastAsia="宋体" w:cs="宋体"/>
                <w:spacing w:val="-2"/>
                <w:sz w:val="21"/>
                <w:szCs w:val="21"/>
                <w:lang w:eastAsia="zh-CN"/>
              </w:rPr>
              <w:t>值、溶解氧、高锰酸盐指数、化学需氧量、五日化学需氧量、氨氮、总磷、总氮、铜、锌、氟化物、硒、</w:t>
            </w:r>
            <w:r>
              <w:rPr>
                <w:rFonts w:hint="eastAsia" w:ascii="宋体" w:hAnsi="宋体" w:eastAsia="宋体" w:cs="宋体"/>
                <w:spacing w:val="-3"/>
                <w:sz w:val="21"/>
                <w:szCs w:val="21"/>
                <w:lang w:eastAsia="zh-CN"/>
              </w:rPr>
              <w:t>砷、汞、镉、铬（六价铅）、氰化物、挥发酚、</w:t>
            </w:r>
            <w:r>
              <w:rPr>
                <w:rFonts w:hint="eastAsia" w:ascii="宋体" w:hAnsi="宋体" w:eastAsia="宋体" w:cs="宋体"/>
                <w:spacing w:val="-4"/>
                <w:sz w:val="21"/>
                <w:szCs w:val="21"/>
                <w:lang w:eastAsia="zh-CN"/>
              </w:rPr>
              <w:t>石油类、阴离子表面活性剂、硫化物、粪大肠菌群共24项地表水环境质量基</w:t>
            </w:r>
            <w:r>
              <w:rPr>
                <w:rFonts w:hint="eastAsia" w:ascii="宋体" w:hAnsi="宋体" w:eastAsia="宋体" w:cs="宋体"/>
                <w:spacing w:val="-5"/>
                <w:sz w:val="21"/>
                <w:szCs w:val="21"/>
                <w:lang w:eastAsia="zh-CN"/>
              </w:rPr>
              <w:t>本项目。</w:t>
            </w:r>
          </w:p>
          <w:p w14:paraId="07F224C9">
            <w:pPr>
              <w:pStyle w:val="23"/>
              <w:keepNext w:val="0"/>
              <w:keepLines w:val="0"/>
              <w:pageBreakBefore w:val="0"/>
              <w:widowControl w:val="0"/>
              <w:kinsoku/>
              <w:wordWrap/>
              <w:overflowPunct w:val="0"/>
              <w:topLinePunct w:val="0"/>
              <w:autoSpaceDE w:val="0"/>
              <w:autoSpaceDN w:val="0"/>
              <w:bidi w:val="0"/>
              <w:adjustRightInd/>
              <w:snapToGrid/>
              <w:spacing w:line="240" w:lineRule="auto"/>
              <w:ind w:left="0" w:right="0" w:firstLine="412" w:firstLineChars="200"/>
              <w:jc w:val="both"/>
              <w:textAlignment w:val="baseline"/>
              <w:rPr>
                <w:rFonts w:hint="eastAsia"/>
                <w:sz w:val="18"/>
                <w:szCs w:val="18"/>
                <w:lang w:eastAsia="zh-CN"/>
              </w:rPr>
            </w:pPr>
            <w:r>
              <w:rPr>
                <w:rFonts w:hint="eastAsia" w:ascii="宋体" w:hAnsi="宋体" w:eastAsia="宋体" w:cs="宋体"/>
                <w:spacing w:val="-2"/>
                <w:position w:val="8"/>
                <w:sz w:val="21"/>
                <w:szCs w:val="21"/>
                <w:lang w:eastAsia="zh-CN"/>
              </w:rPr>
              <w:t>e</w:t>
            </w:r>
            <w:r>
              <w:rPr>
                <w:rFonts w:hint="eastAsia" w:ascii="宋体" w:hAnsi="宋体" w:eastAsia="宋体" w:cs="宋体"/>
                <w:spacing w:val="-2"/>
                <w:position w:val="7"/>
                <w:sz w:val="21"/>
                <w:szCs w:val="21"/>
                <w:lang w:eastAsia="zh-CN"/>
              </w:rPr>
              <w:t>、</w:t>
            </w:r>
            <w:r>
              <w:rPr>
                <w:rFonts w:hint="eastAsia" w:ascii="宋体" w:hAnsi="宋体" w:eastAsia="宋体" w:cs="宋体"/>
                <w:spacing w:val="-2"/>
                <w:position w:val="-1"/>
                <w:sz w:val="21"/>
                <w:szCs w:val="21"/>
                <w:lang w:eastAsia="zh-CN"/>
              </w:rPr>
              <w:t>主要包括森林、灌丛、草地、湿地、农田、城镇、荒漠等生</w:t>
            </w:r>
            <w:r>
              <w:rPr>
                <w:rFonts w:hint="eastAsia" w:ascii="宋体" w:hAnsi="宋体" w:eastAsia="宋体" w:cs="宋体"/>
                <w:spacing w:val="-3"/>
                <w:position w:val="-1"/>
                <w:sz w:val="21"/>
                <w:szCs w:val="21"/>
                <w:lang w:eastAsia="zh-CN"/>
              </w:rPr>
              <w:t>态系统类型。</w:t>
            </w:r>
          </w:p>
        </w:tc>
      </w:tr>
    </w:tbl>
    <w:p w14:paraId="4ACD01A3">
      <w:pPr>
        <w:rPr>
          <w:lang w:eastAsia="zh-CN"/>
        </w:rPr>
      </w:pPr>
      <w:r>
        <w:rPr>
          <w:lang w:eastAsia="zh-CN"/>
        </w:rPr>
        <w:br w:type="page"/>
      </w:r>
    </w:p>
    <w:p w14:paraId="0941D106">
      <w:pPr>
        <w:pStyle w:val="2"/>
        <w:keepNext w:val="0"/>
        <w:keepLines w:val="0"/>
        <w:widowControl w:val="0"/>
        <w:kinsoku/>
        <w:spacing w:before="0" w:after="0" w:line="360" w:lineRule="auto"/>
        <w:jc w:val="center"/>
        <w:rPr>
          <w:rFonts w:hint="eastAsia" w:ascii="黑体" w:hAnsi="黑体" w:eastAsia="黑体" w:cs="黑体"/>
          <w:b w:val="0"/>
          <w:bCs/>
          <w:sz w:val="32"/>
          <w:szCs w:val="32"/>
          <w:lang w:eastAsia="zh-CN"/>
        </w:rPr>
      </w:pPr>
      <w:bookmarkStart w:id="76" w:name="bookmark77"/>
      <w:bookmarkEnd w:id="76"/>
      <w:bookmarkStart w:id="77" w:name="bookmark78"/>
      <w:bookmarkEnd w:id="77"/>
      <w:bookmarkStart w:id="78" w:name="bookmark79"/>
      <w:bookmarkEnd w:id="78"/>
      <w:bookmarkStart w:id="79" w:name="bookmark80"/>
      <w:bookmarkEnd w:id="79"/>
      <w:bookmarkStart w:id="80" w:name="_Toc25549"/>
      <w:r>
        <w:rPr>
          <w:rFonts w:hint="eastAsia" w:ascii="黑体" w:hAnsi="黑体" w:eastAsia="黑体" w:cs="黑体"/>
          <w:b w:val="0"/>
          <w:bCs/>
          <w:sz w:val="32"/>
          <w:szCs w:val="32"/>
          <w:lang w:eastAsia="zh-CN"/>
        </w:rPr>
        <w:t>第三章  问题识别诊断及修复可行性分析</w:t>
      </w:r>
      <w:bookmarkEnd w:id="80"/>
    </w:p>
    <w:p w14:paraId="3CFC8E4C">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81" w:name="bookmark253"/>
      <w:bookmarkEnd w:id="81"/>
      <w:bookmarkStart w:id="82" w:name="_Toc31954"/>
      <w:r>
        <w:rPr>
          <w:rFonts w:hint="eastAsia" w:ascii="宋体" w:hAnsi="宋体" w:eastAsia="宋体" w:cs="宋体"/>
          <w:sz w:val="30"/>
          <w:szCs w:val="30"/>
          <w:lang w:eastAsia="zh-CN"/>
        </w:rPr>
        <w:t>一、问题识别与受损预测</w:t>
      </w:r>
      <w:bookmarkEnd w:id="82"/>
    </w:p>
    <w:p w14:paraId="3FEBDF83">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83" w:name="_Toc23383"/>
      <w:r>
        <w:rPr>
          <w:rFonts w:hint="eastAsia" w:ascii="宋体" w:hAnsi="宋体" w:eastAsia="宋体" w:cs="宋体"/>
          <w:sz w:val="28"/>
          <w:szCs w:val="28"/>
          <w:lang w:eastAsia="zh-CN"/>
        </w:rPr>
        <w:t>（一）现状问题</w:t>
      </w:r>
      <w:bookmarkEnd w:id="83"/>
    </w:p>
    <w:p w14:paraId="56EA7FA0">
      <w:pPr>
        <w:pStyle w:val="6"/>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napToGrid w:val="0"/>
          <w:color w:val="000000"/>
          <w:spacing w:val="-1"/>
          <w:sz w:val="28"/>
          <w:szCs w:val="28"/>
          <w:lang w:val="en-US" w:eastAsia="zh-CN" w:bidi="ar-SA"/>
        </w:rPr>
      </w:pPr>
      <w:bookmarkStart w:id="84" w:name="bookmark82"/>
      <w:bookmarkEnd w:id="84"/>
      <w:bookmarkStart w:id="85" w:name="bookmark81"/>
      <w:bookmarkEnd w:id="85"/>
      <w:r>
        <w:rPr>
          <w:rFonts w:hint="eastAsia" w:ascii="宋体" w:hAnsi="宋体" w:eastAsia="宋体" w:cs="宋体"/>
          <w:snapToGrid w:val="0"/>
          <w:color w:val="000000"/>
          <w:spacing w:val="-1"/>
          <w:sz w:val="28"/>
          <w:szCs w:val="28"/>
          <w:lang w:val="en-US" w:eastAsia="zh-CN" w:bidi="ar-SA"/>
        </w:rPr>
        <w:t>1、基础调查概述</w:t>
      </w:r>
    </w:p>
    <w:p w14:paraId="1E87EB18">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ascii="宋体" w:hAnsi="宋体" w:eastAsia="宋体" w:cs="宋体"/>
          <w:spacing w:val="-1"/>
          <w:sz w:val="28"/>
          <w:szCs w:val="28"/>
          <w:lang w:val="en-US" w:eastAsia="zh-CN"/>
        </w:rPr>
      </w:pPr>
      <w:r>
        <w:rPr>
          <w:rFonts w:hint="eastAsia" w:ascii="宋体" w:hAnsi="宋体" w:eastAsia="宋体" w:cs="宋体"/>
          <w:spacing w:val="-1"/>
          <w:sz w:val="28"/>
          <w:szCs w:val="28"/>
          <w:lang w:val="en-US" w:eastAsia="zh-CN"/>
        </w:rPr>
        <w:t>⑴</w:t>
      </w:r>
      <w:r>
        <w:rPr>
          <w:rFonts w:ascii="宋体" w:hAnsi="宋体" w:eastAsia="宋体" w:cs="宋体"/>
          <w:spacing w:val="-1"/>
          <w:sz w:val="28"/>
          <w:szCs w:val="28"/>
          <w:lang w:val="en-US" w:eastAsia="zh-CN"/>
        </w:rPr>
        <w:t>矿山地质环境调查概述</w:t>
      </w:r>
    </w:p>
    <w:p w14:paraId="11C1A57F">
      <w:pPr>
        <w:pStyle w:val="11"/>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r>
        <w:rPr>
          <w:rFonts w:ascii="宋体" w:hAnsi="宋体" w:eastAsia="宋体" w:cs="宋体"/>
          <w:spacing w:val="-1"/>
          <w:sz w:val="28"/>
          <w:szCs w:val="28"/>
          <w:lang w:eastAsia="zh-CN"/>
        </w:rPr>
        <w:t>本次矿山地质环境调查工作，我们首先熟悉工作程序，确定了工作重点，制定了实施计划。在收集资料的基础上，开展矿山地质环境现状调查。在开展现场调查工作前，收集了</w:t>
      </w:r>
      <w:r>
        <w:rPr>
          <w:rFonts w:hint="eastAsia" w:ascii="宋体" w:hAnsi="宋体" w:eastAsia="宋体" w:cs="宋体"/>
          <w:spacing w:val="-1"/>
          <w:sz w:val="28"/>
          <w:szCs w:val="28"/>
          <w:lang w:eastAsia="zh-CN"/>
        </w:rPr>
        <w:t>青海省格尔木市茶格高速南建筑用砂2#矿可行性研究报告、</w:t>
      </w:r>
      <w:r>
        <w:rPr>
          <w:rFonts w:hint="eastAsia" w:ascii="宋体" w:hAnsi="宋体" w:eastAsia="Arial" w:cs="宋体"/>
          <w:snapToGrid w:val="0"/>
          <w:color w:val="000000"/>
          <w:sz w:val="28"/>
          <w:szCs w:val="28"/>
          <w:shd w:val="clear" w:color="auto" w:fill="FFFFFF"/>
          <w:lang w:val="en-US" w:eastAsia="zh-CN" w:bidi="ar-SA"/>
        </w:rPr>
        <w:t>矿产资源</w:t>
      </w:r>
      <w:r>
        <w:rPr>
          <w:rFonts w:hint="eastAsia" w:hAnsi="宋体" w:cs="宋体"/>
          <w:snapToGrid w:val="0"/>
          <w:color w:val="000000"/>
          <w:sz w:val="28"/>
          <w:szCs w:val="28"/>
          <w:shd w:val="clear" w:color="auto" w:fill="FFFFFF"/>
          <w:lang w:val="en-US" w:eastAsia="zh-CN" w:bidi="ar-SA"/>
        </w:rPr>
        <w:t>开发利用</w:t>
      </w:r>
      <w:r>
        <w:rPr>
          <w:rFonts w:hint="eastAsia" w:ascii="宋体" w:hAnsi="宋体" w:eastAsia="Arial" w:cs="宋体"/>
          <w:snapToGrid w:val="0"/>
          <w:color w:val="000000"/>
          <w:sz w:val="28"/>
          <w:szCs w:val="28"/>
          <w:shd w:val="clear" w:color="auto" w:fill="FFFFFF"/>
          <w:lang w:val="en-US" w:eastAsia="zh-CN" w:bidi="ar-SA"/>
        </w:rPr>
        <w:t>方案</w:t>
      </w:r>
      <w:r>
        <w:rPr>
          <w:rFonts w:hint="eastAsia" w:hAnsi="宋体" w:cs="宋体"/>
          <w:snapToGrid w:val="0"/>
          <w:color w:val="000000"/>
          <w:sz w:val="28"/>
          <w:szCs w:val="28"/>
          <w:shd w:val="clear" w:color="auto" w:fill="FFFFFF"/>
          <w:lang w:val="en-US" w:eastAsia="zh-CN" w:bidi="ar-SA"/>
        </w:rPr>
        <w:t>、</w:t>
      </w:r>
      <w:r>
        <w:rPr>
          <w:rFonts w:hint="eastAsia" w:ascii="宋体" w:hAnsi="宋体" w:eastAsia="宋体" w:cs="宋体"/>
          <w:sz w:val="28"/>
          <w:szCs w:val="28"/>
          <w:lang w:val="en-US" w:eastAsia="zh-CN"/>
        </w:rPr>
        <w:t>开采设计</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矿山地质环境保护与土地复垦方案、</w:t>
      </w:r>
      <w:r>
        <w:rPr>
          <w:rFonts w:hint="eastAsia" w:ascii="宋体" w:hAnsi="宋体" w:eastAsia="宋体" w:cs="宋体"/>
          <w:sz w:val="28"/>
          <w:szCs w:val="28"/>
          <w:lang w:eastAsia="zh-CN"/>
        </w:rPr>
        <w:t>20</w:t>
      </w:r>
      <w:r>
        <w:rPr>
          <w:rFonts w:hint="eastAsia" w:ascii="宋体" w:hAnsi="宋体" w:eastAsia="宋体" w:cs="宋体"/>
          <w:sz w:val="28"/>
          <w:szCs w:val="28"/>
          <w:lang w:val="en-US" w:eastAsia="zh-CN"/>
        </w:rPr>
        <w:t>24</w:t>
      </w:r>
      <w:r>
        <w:rPr>
          <w:rFonts w:hint="eastAsia" w:ascii="宋体" w:hAnsi="宋体" w:eastAsia="宋体" w:cs="宋体"/>
          <w:sz w:val="28"/>
          <w:szCs w:val="28"/>
          <w:lang w:eastAsia="zh-CN"/>
        </w:rPr>
        <w:t>年</w:t>
      </w:r>
      <w:r>
        <w:rPr>
          <w:rFonts w:hint="eastAsia" w:ascii="宋体" w:hAnsi="宋体" w:eastAsia="宋体" w:cs="宋体"/>
          <w:sz w:val="28"/>
          <w:szCs w:val="28"/>
          <w:lang w:val="en-US" w:eastAsia="zh-CN"/>
        </w:rPr>
        <w:t>储量年</w:t>
      </w:r>
      <w:r>
        <w:rPr>
          <w:rFonts w:hint="eastAsia" w:ascii="宋体" w:hAnsi="宋体" w:eastAsia="宋体" w:cs="宋体"/>
          <w:sz w:val="28"/>
          <w:szCs w:val="28"/>
          <w:lang w:eastAsia="zh-CN"/>
        </w:rPr>
        <w:t>度年报</w:t>
      </w:r>
      <w:r>
        <w:rPr>
          <w:rFonts w:hint="eastAsia" w:hAnsi="宋体" w:eastAsia="宋体" w:cs="宋体"/>
          <w:sz w:val="28"/>
          <w:szCs w:val="28"/>
          <w:lang w:eastAsia="zh-CN"/>
        </w:rPr>
        <w:t>、</w:t>
      </w:r>
      <w:r>
        <w:rPr>
          <w:rFonts w:hint="eastAsia" w:ascii="宋体" w:hAnsi="宋体" w:eastAsia="宋体" w:cs="宋体"/>
          <w:sz w:val="28"/>
          <w:szCs w:val="28"/>
          <w:lang w:eastAsia="zh-CN"/>
        </w:rPr>
        <w:t>20</w:t>
      </w:r>
      <w:r>
        <w:rPr>
          <w:rFonts w:hint="eastAsia" w:ascii="宋体" w:hAnsi="宋体" w:eastAsia="宋体" w:cs="宋体"/>
          <w:sz w:val="28"/>
          <w:szCs w:val="28"/>
          <w:lang w:val="en-US" w:eastAsia="zh-CN"/>
        </w:rPr>
        <w:t>2</w:t>
      </w:r>
      <w:r>
        <w:rPr>
          <w:rFonts w:hint="eastAsia" w:hAnsi="宋体" w:eastAsia="宋体" w:cs="宋体"/>
          <w:sz w:val="28"/>
          <w:szCs w:val="28"/>
          <w:lang w:val="en-US" w:eastAsia="zh-CN"/>
        </w:rPr>
        <w:t>5</w:t>
      </w:r>
      <w:r>
        <w:rPr>
          <w:rFonts w:hint="eastAsia" w:ascii="宋体" w:hAnsi="宋体" w:eastAsia="宋体" w:cs="宋体"/>
          <w:sz w:val="28"/>
          <w:szCs w:val="28"/>
          <w:lang w:eastAsia="zh-CN"/>
        </w:rPr>
        <w:t>年</w:t>
      </w:r>
      <w:r>
        <w:rPr>
          <w:rFonts w:hint="eastAsia" w:ascii="宋体" w:hAnsi="宋体" w:eastAsia="宋体" w:cs="宋体"/>
          <w:sz w:val="28"/>
          <w:szCs w:val="28"/>
          <w:lang w:val="en-US" w:eastAsia="zh-CN"/>
        </w:rPr>
        <w:t>储量年</w:t>
      </w:r>
      <w:r>
        <w:rPr>
          <w:rFonts w:hint="eastAsia" w:ascii="宋体" w:hAnsi="宋体" w:eastAsia="宋体" w:cs="宋体"/>
          <w:sz w:val="28"/>
          <w:szCs w:val="28"/>
          <w:lang w:eastAsia="zh-CN"/>
        </w:rPr>
        <w:t>度年报</w:t>
      </w:r>
      <w:r>
        <w:rPr>
          <w:rFonts w:ascii="宋体" w:hAnsi="宋体" w:eastAsia="宋体" w:cs="宋体"/>
          <w:spacing w:val="-1"/>
          <w:sz w:val="28"/>
          <w:szCs w:val="28"/>
          <w:lang w:eastAsia="zh-CN"/>
        </w:rPr>
        <w:t>等报告共计</w:t>
      </w:r>
      <w:r>
        <w:rPr>
          <w:rFonts w:hint="eastAsia" w:hAnsi="宋体" w:eastAsia="宋体" w:cs="宋体"/>
          <w:spacing w:val="-1"/>
          <w:sz w:val="28"/>
          <w:szCs w:val="28"/>
          <w:lang w:val="en-US" w:eastAsia="zh-CN"/>
        </w:rPr>
        <w:t>6</w:t>
      </w:r>
      <w:r>
        <w:rPr>
          <w:rFonts w:ascii="宋体" w:hAnsi="宋体" w:eastAsia="宋体" w:cs="宋体"/>
          <w:spacing w:val="-1"/>
          <w:sz w:val="28"/>
          <w:szCs w:val="28"/>
          <w:lang w:eastAsia="zh-CN"/>
        </w:rPr>
        <w:t>份，并到</w:t>
      </w:r>
      <w:r>
        <w:rPr>
          <w:rFonts w:hint="eastAsia" w:ascii="宋体" w:hAnsi="宋体" w:eastAsia="宋体" w:cs="宋体"/>
          <w:spacing w:val="-1"/>
          <w:sz w:val="28"/>
          <w:szCs w:val="28"/>
          <w:lang w:eastAsia="zh-CN"/>
        </w:rPr>
        <w:t>格尔木市</w:t>
      </w:r>
      <w:r>
        <w:rPr>
          <w:rFonts w:ascii="宋体" w:hAnsi="宋体" w:eastAsia="宋体" w:cs="宋体"/>
          <w:spacing w:val="-1"/>
          <w:sz w:val="28"/>
          <w:szCs w:val="28"/>
          <w:lang w:eastAsia="zh-CN"/>
        </w:rPr>
        <w:t>自然资源局收集了土地利用现状图等资料，并进行了分析、整理，特别针对矿区平面位置分布、露天开采的特点，制定了详细的调查路线和调查内容，重点调查了露天采场和</w:t>
      </w:r>
      <w:r>
        <w:rPr>
          <w:rFonts w:hint="eastAsia" w:ascii="宋体" w:hAnsi="宋体" w:eastAsia="宋体" w:cs="宋体"/>
          <w:spacing w:val="-1"/>
          <w:sz w:val="28"/>
          <w:szCs w:val="28"/>
          <w:lang w:eastAsia="zh-CN"/>
        </w:rPr>
        <w:t>工业场地</w:t>
      </w:r>
      <w:r>
        <w:rPr>
          <w:rFonts w:ascii="宋体" w:hAnsi="宋体" w:eastAsia="宋体" w:cs="宋体"/>
          <w:spacing w:val="-1"/>
          <w:sz w:val="28"/>
          <w:szCs w:val="28"/>
          <w:lang w:eastAsia="zh-CN"/>
        </w:rPr>
        <w:t>的地质环境问题。</w:t>
      </w:r>
    </w:p>
    <w:p w14:paraId="4CF6A711">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ascii="宋体" w:hAnsi="宋体" w:eastAsia="宋体" w:cs="宋体"/>
          <w:spacing w:val="-1"/>
          <w:sz w:val="28"/>
          <w:szCs w:val="28"/>
          <w:lang w:eastAsia="zh-CN"/>
        </w:rPr>
        <w:t>现场调查采用路线穿插、地质环境点重点追索的调查方法进行。做到了逢人必问、遇沟必看，访问调查与实际调查相结合。现场采用全矿区1:</w:t>
      </w:r>
      <w:r>
        <w:rPr>
          <w:rFonts w:hint="eastAsia" w:ascii="宋体" w:hAnsi="宋体" w:eastAsia="宋体" w:cs="宋体"/>
          <w:spacing w:val="-1"/>
          <w:sz w:val="28"/>
          <w:szCs w:val="28"/>
          <w:lang w:val="en-US" w:eastAsia="zh-CN"/>
        </w:rPr>
        <w:t>500</w:t>
      </w:r>
      <w:r>
        <w:rPr>
          <w:rFonts w:ascii="宋体" w:hAnsi="宋体" w:eastAsia="宋体" w:cs="宋体"/>
          <w:spacing w:val="-1"/>
          <w:sz w:val="28"/>
          <w:szCs w:val="28"/>
          <w:lang w:eastAsia="zh-CN"/>
        </w:rPr>
        <w:t>地形地质图作为现场调查手图，调查点采用GPS和地形地物校核定位，结合无人机，对可能因采矿活动而受影响的范围进行重点调查，并对灾害点和重要地质现象进行详细记录和拍照，保证了调查的质量。</w:t>
      </w:r>
    </w:p>
    <w:p w14:paraId="2D741E47">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ascii="宋体" w:hAnsi="宋体" w:eastAsia="宋体" w:cs="宋体"/>
          <w:spacing w:val="-1"/>
          <w:sz w:val="28"/>
          <w:szCs w:val="28"/>
          <w:lang w:eastAsia="zh-CN"/>
        </w:rPr>
        <w:t>按照《矿山地质环境保护与恢复治理方案编制规范》（DZ/T0223-2011）的规定：矿山地质环境调查范围为采矿登记范围和采矿活动可能影响到的范围，因此，现场调查范围以采矿权范围为基础，结合周边环境特征、未来开采可能对地质环境影响的程度，适当考虑地形起伏变化、分水岭分布及矿山开采对地下水资源影响情况圈定评估区范围</w:t>
      </w:r>
      <w:r>
        <w:rPr>
          <w:rFonts w:hint="eastAsia" w:ascii="宋体" w:hAnsi="宋体" w:eastAsia="宋体" w:cs="宋体"/>
          <w:spacing w:val="-1"/>
          <w:sz w:val="28"/>
          <w:szCs w:val="28"/>
          <w:lang w:eastAsia="zh-CN"/>
        </w:rPr>
        <w:t>151.84</w:t>
      </w:r>
      <w:r>
        <w:rPr>
          <w:rFonts w:ascii="宋体" w:hAnsi="宋体" w:eastAsia="宋体" w:cs="宋体"/>
          <w:spacing w:val="-1"/>
          <w:sz w:val="28"/>
          <w:szCs w:val="28"/>
          <w:lang w:eastAsia="zh-CN"/>
        </w:rPr>
        <w:t>hm</w:t>
      </w:r>
      <w:r>
        <w:rPr>
          <w:rFonts w:ascii="宋体" w:hAnsi="宋体" w:eastAsia="宋体" w:cs="宋体"/>
          <w:spacing w:val="-1"/>
          <w:sz w:val="28"/>
          <w:szCs w:val="28"/>
          <w:vertAlign w:val="superscript"/>
          <w:lang w:eastAsia="zh-CN"/>
        </w:rPr>
        <w:t>2</w:t>
      </w:r>
      <w:r>
        <w:rPr>
          <w:rFonts w:ascii="宋体" w:hAnsi="宋体" w:eastAsia="宋体" w:cs="宋体"/>
          <w:spacing w:val="-1"/>
          <w:sz w:val="28"/>
          <w:szCs w:val="28"/>
          <w:lang w:eastAsia="zh-CN"/>
        </w:rPr>
        <w:t>。</w:t>
      </w:r>
    </w:p>
    <w:p w14:paraId="4D9C33B7">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ascii="宋体" w:hAnsi="宋体" w:eastAsia="宋体" w:cs="宋体"/>
          <w:spacing w:val="-1"/>
          <w:sz w:val="28"/>
          <w:szCs w:val="28"/>
          <w:lang w:eastAsia="zh-CN"/>
        </w:rPr>
      </w:pPr>
      <w:r>
        <w:rPr>
          <w:rFonts w:ascii="宋体" w:hAnsi="宋体" w:eastAsia="宋体" w:cs="宋体"/>
          <w:spacing w:val="-1"/>
          <w:sz w:val="28"/>
          <w:szCs w:val="28"/>
          <w:lang w:eastAsia="zh-CN"/>
        </w:rPr>
        <w:t>现场调查内容主要包括调查区范围内的地表建筑设施、</w:t>
      </w:r>
      <w:r>
        <w:rPr>
          <w:rFonts w:hint="eastAsia" w:ascii="宋体" w:hAnsi="宋体" w:eastAsia="宋体" w:cs="宋体"/>
          <w:spacing w:val="-1"/>
          <w:sz w:val="28"/>
          <w:szCs w:val="28"/>
          <w:lang w:eastAsia="zh-CN"/>
        </w:rPr>
        <w:t>岩体节理裂隙、断层破碎带、坡面冲沟</w:t>
      </w:r>
      <w:r>
        <w:rPr>
          <w:rFonts w:ascii="宋体" w:hAnsi="宋体" w:eastAsia="宋体" w:cs="宋体"/>
          <w:spacing w:val="-1"/>
          <w:sz w:val="28"/>
          <w:szCs w:val="28"/>
          <w:lang w:eastAsia="zh-CN"/>
        </w:rPr>
        <w:t>等。重点对区内的矿山建设生产情况、地形地貌景观、地质灾害点发育等进行了调查，基本查明了矿山开采影响范围内的矿山地质环境问题。</w:t>
      </w:r>
    </w:p>
    <w:p w14:paraId="3B3113AA">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hint="eastAsia" w:ascii="宋体" w:hAnsi="宋体" w:eastAsia="宋体" w:cs="宋体"/>
          <w:spacing w:val="-1"/>
          <w:sz w:val="28"/>
          <w:szCs w:val="28"/>
          <w:lang w:eastAsia="zh-CN"/>
        </w:rPr>
        <w:t>⑵</w:t>
      </w:r>
      <w:r>
        <w:rPr>
          <w:rFonts w:ascii="宋体" w:hAnsi="宋体" w:eastAsia="宋体" w:cs="宋体"/>
          <w:spacing w:val="-1"/>
          <w:sz w:val="28"/>
          <w:szCs w:val="28"/>
          <w:lang w:eastAsia="zh-CN"/>
        </w:rPr>
        <w:t>土地资源调查概述</w:t>
      </w:r>
    </w:p>
    <w:p w14:paraId="64CC2491">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ascii="宋体" w:hAnsi="宋体" w:eastAsia="宋体" w:cs="宋体"/>
          <w:spacing w:val="-1"/>
          <w:sz w:val="28"/>
          <w:szCs w:val="28"/>
          <w:lang w:eastAsia="zh-CN"/>
        </w:rPr>
        <w:t>此次土地资源调查的目的是全面摸清项目区土地资源和利用状况，掌握真实准确的基础数据，为科学合理地制定</w:t>
      </w:r>
      <w:r>
        <w:rPr>
          <w:rFonts w:hint="eastAsia" w:ascii="宋体" w:hAnsi="宋体" w:eastAsia="宋体" w:cs="宋体"/>
          <w:spacing w:val="-1"/>
          <w:sz w:val="28"/>
          <w:szCs w:val="28"/>
          <w:lang w:eastAsia="zh-CN"/>
        </w:rPr>
        <w:t>生态修复</w:t>
      </w:r>
      <w:r>
        <w:rPr>
          <w:rFonts w:ascii="宋体" w:hAnsi="宋体" w:eastAsia="宋体" w:cs="宋体"/>
          <w:spacing w:val="-1"/>
          <w:sz w:val="28"/>
          <w:szCs w:val="28"/>
          <w:lang w:eastAsia="zh-CN"/>
        </w:rPr>
        <w:t>方案、有效保护项目区土地资源提供依据。调查的任务主要有查清项目区各土地利用类型及分布、项目区土地涉及权属主体、收集土地利用现状图和规划图，真实准确地掌握项目区内的土地资源利用情况。结合矿山开采方案，预测土地损毁情况和程度，并科学划定</w:t>
      </w:r>
      <w:r>
        <w:rPr>
          <w:rFonts w:hint="eastAsia" w:ascii="宋体" w:hAnsi="宋体" w:eastAsia="宋体" w:cs="宋体"/>
          <w:spacing w:val="-1"/>
          <w:sz w:val="28"/>
          <w:szCs w:val="28"/>
          <w:lang w:eastAsia="zh-CN"/>
        </w:rPr>
        <w:t>修复</w:t>
      </w:r>
      <w:r>
        <w:rPr>
          <w:rFonts w:ascii="宋体" w:hAnsi="宋体" w:eastAsia="宋体" w:cs="宋体"/>
          <w:spacing w:val="-1"/>
          <w:sz w:val="28"/>
          <w:szCs w:val="28"/>
          <w:lang w:eastAsia="zh-CN"/>
        </w:rPr>
        <w:t>责任范围，制定合理可行的</w:t>
      </w:r>
      <w:r>
        <w:rPr>
          <w:rFonts w:hint="eastAsia" w:ascii="宋体" w:hAnsi="宋体" w:eastAsia="宋体" w:cs="宋体"/>
          <w:spacing w:val="-1"/>
          <w:sz w:val="28"/>
          <w:szCs w:val="28"/>
          <w:lang w:eastAsia="zh-CN"/>
        </w:rPr>
        <w:t>修复</w:t>
      </w:r>
      <w:r>
        <w:rPr>
          <w:rFonts w:ascii="宋体" w:hAnsi="宋体" w:eastAsia="宋体" w:cs="宋体"/>
          <w:spacing w:val="-1"/>
          <w:sz w:val="28"/>
          <w:szCs w:val="28"/>
          <w:lang w:eastAsia="zh-CN"/>
        </w:rPr>
        <w:t>实施方案。</w:t>
      </w:r>
    </w:p>
    <w:p w14:paraId="06A3B748">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ascii="宋体" w:hAnsi="宋体" w:eastAsia="宋体" w:cs="宋体"/>
          <w:spacing w:val="-1"/>
          <w:sz w:val="28"/>
          <w:szCs w:val="28"/>
          <w:lang w:eastAsia="zh-CN"/>
        </w:rPr>
        <w:t>本次调查采用GPS和地形地物校核定位，结合无人机，对项目区内的损毁区域和拟损毁区域进行了面积圈定；调查了土壤层厚度和质地；针对矿山生产对土地的损毁、对当地环境的影响以及</w:t>
      </w:r>
      <w:r>
        <w:rPr>
          <w:rFonts w:hint="eastAsia" w:ascii="宋体" w:hAnsi="宋体" w:eastAsia="宋体" w:cs="宋体"/>
          <w:spacing w:val="-1"/>
          <w:sz w:val="28"/>
          <w:szCs w:val="28"/>
          <w:lang w:eastAsia="zh-CN"/>
        </w:rPr>
        <w:t>生态修复</w:t>
      </w:r>
      <w:r>
        <w:rPr>
          <w:rFonts w:ascii="宋体" w:hAnsi="宋体" w:eastAsia="宋体" w:cs="宋体"/>
          <w:spacing w:val="-1"/>
          <w:sz w:val="28"/>
          <w:szCs w:val="28"/>
          <w:lang w:eastAsia="zh-CN"/>
        </w:rPr>
        <w:t>方向和标准措施等，发放了公众调查表</w:t>
      </w:r>
      <w:r>
        <w:rPr>
          <w:rFonts w:hint="eastAsia" w:ascii="宋体" w:hAnsi="宋体" w:eastAsia="宋体" w:cs="宋体"/>
          <w:spacing w:val="-1"/>
          <w:sz w:val="28"/>
          <w:szCs w:val="28"/>
          <w:lang w:val="en-US" w:eastAsia="zh-CN"/>
        </w:rPr>
        <w:t>10</w:t>
      </w:r>
      <w:r>
        <w:rPr>
          <w:rFonts w:ascii="宋体" w:hAnsi="宋体" w:eastAsia="宋体" w:cs="宋体"/>
          <w:spacing w:val="-1"/>
          <w:sz w:val="28"/>
          <w:szCs w:val="28"/>
          <w:lang w:eastAsia="zh-CN"/>
        </w:rPr>
        <w:t>份，收回了公众调查表</w:t>
      </w:r>
      <w:r>
        <w:rPr>
          <w:rFonts w:hint="eastAsia" w:ascii="宋体" w:hAnsi="宋体" w:eastAsia="宋体" w:cs="宋体"/>
          <w:spacing w:val="-1"/>
          <w:sz w:val="28"/>
          <w:szCs w:val="28"/>
          <w:lang w:val="en-US" w:eastAsia="zh-CN"/>
        </w:rPr>
        <w:t>6</w:t>
      </w:r>
      <w:r>
        <w:rPr>
          <w:rFonts w:ascii="宋体" w:hAnsi="宋体" w:eastAsia="宋体" w:cs="宋体"/>
          <w:spacing w:val="-1"/>
          <w:sz w:val="28"/>
          <w:szCs w:val="28"/>
          <w:lang w:eastAsia="zh-CN"/>
        </w:rPr>
        <w:t>份，均对本项目表示支持和赞成。整个项目现场调查工作完成了调查线路</w:t>
      </w:r>
      <w:r>
        <w:rPr>
          <w:rFonts w:hint="eastAsia" w:ascii="宋体" w:hAnsi="宋体" w:eastAsia="宋体" w:cs="宋体"/>
          <w:spacing w:val="-1"/>
          <w:sz w:val="28"/>
          <w:szCs w:val="28"/>
          <w:lang w:eastAsia="zh-CN"/>
        </w:rPr>
        <w:t>3.58</w:t>
      </w:r>
      <w:r>
        <w:rPr>
          <w:rFonts w:ascii="宋体" w:hAnsi="宋体" w:eastAsia="宋体" w:cs="宋体"/>
          <w:spacing w:val="-1"/>
          <w:sz w:val="28"/>
          <w:szCs w:val="28"/>
          <w:lang w:eastAsia="zh-CN"/>
        </w:rPr>
        <w:t>km、调查点</w:t>
      </w:r>
      <w:r>
        <w:rPr>
          <w:rFonts w:hint="eastAsia" w:ascii="宋体" w:hAnsi="宋体" w:eastAsia="宋体" w:cs="宋体"/>
          <w:spacing w:val="-1"/>
          <w:sz w:val="28"/>
          <w:szCs w:val="28"/>
          <w:lang w:eastAsia="zh-CN"/>
        </w:rPr>
        <w:t>10</w:t>
      </w:r>
      <w:r>
        <w:rPr>
          <w:rFonts w:ascii="宋体" w:hAnsi="宋体" w:eastAsia="宋体" w:cs="宋体"/>
          <w:spacing w:val="-1"/>
          <w:sz w:val="28"/>
          <w:szCs w:val="28"/>
          <w:lang w:eastAsia="zh-CN"/>
        </w:rPr>
        <w:t>个，其中包括地质调查点</w:t>
      </w:r>
      <w:r>
        <w:rPr>
          <w:rFonts w:hint="eastAsia" w:ascii="宋体" w:hAnsi="宋体" w:eastAsia="宋体" w:cs="宋体"/>
          <w:spacing w:val="-1"/>
          <w:sz w:val="28"/>
          <w:szCs w:val="28"/>
          <w:lang w:eastAsia="zh-CN"/>
        </w:rPr>
        <w:t>5</w:t>
      </w:r>
      <w:r>
        <w:rPr>
          <w:rFonts w:ascii="宋体" w:hAnsi="宋体" w:eastAsia="宋体" w:cs="宋体"/>
          <w:spacing w:val="-1"/>
          <w:sz w:val="28"/>
          <w:szCs w:val="28"/>
          <w:lang w:eastAsia="zh-CN"/>
        </w:rPr>
        <w:t>个、水文地质调查点2个、环境地质（土壤）调查点3个，无人机航拍</w:t>
      </w:r>
      <w:r>
        <w:rPr>
          <w:rFonts w:hint="eastAsia" w:ascii="宋体" w:hAnsi="宋体" w:eastAsia="宋体" w:cs="宋体"/>
          <w:spacing w:val="-1"/>
          <w:sz w:val="28"/>
          <w:szCs w:val="28"/>
          <w:lang w:eastAsia="zh-CN"/>
        </w:rPr>
        <w:t>0.95</w:t>
      </w:r>
      <w:r>
        <w:rPr>
          <w:rFonts w:ascii="宋体" w:hAnsi="宋体" w:eastAsia="宋体" w:cs="宋体"/>
          <w:spacing w:val="-1"/>
          <w:sz w:val="28"/>
          <w:szCs w:val="28"/>
          <w:lang w:eastAsia="zh-CN"/>
        </w:rPr>
        <w:t>km</w:t>
      </w:r>
      <w:r>
        <w:rPr>
          <w:rFonts w:ascii="宋体" w:hAnsi="宋体" w:eastAsia="宋体" w:cs="宋体"/>
          <w:spacing w:val="-1"/>
          <w:sz w:val="28"/>
          <w:szCs w:val="28"/>
          <w:vertAlign w:val="superscript"/>
          <w:lang w:eastAsia="zh-CN"/>
        </w:rPr>
        <w:t>2</w:t>
      </w:r>
      <w:r>
        <w:rPr>
          <w:rFonts w:ascii="宋体" w:hAnsi="宋体" w:eastAsia="宋体" w:cs="宋体"/>
          <w:spacing w:val="-1"/>
          <w:sz w:val="28"/>
          <w:szCs w:val="28"/>
          <w:lang w:eastAsia="zh-CN"/>
        </w:rPr>
        <w:t>,正射影像1幅，拍摄相关照片</w:t>
      </w:r>
      <w:r>
        <w:rPr>
          <w:rFonts w:hint="eastAsia" w:ascii="宋体" w:hAnsi="宋体" w:eastAsia="宋体" w:cs="宋体"/>
          <w:spacing w:val="-1"/>
          <w:sz w:val="28"/>
          <w:szCs w:val="28"/>
          <w:lang w:eastAsia="zh-CN"/>
        </w:rPr>
        <w:t>2</w:t>
      </w:r>
      <w:r>
        <w:rPr>
          <w:rFonts w:ascii="宋体" w:hAnsi="宋体" w:eastAsia="宋体" w:cs="宋体"/>
          <w:spacing w:val="-1"/>
          <w:sz w:val="28"/>
          <w:szCs w:val="28"/>
          <w:lang w:eastAsia="zh-CN"/>
        </w:rPr>
        <w:t>0张，拍摄视频约3分钟,完成的工作量见表3-1。</w:t>
      </w:r>
    </w:p>
    <w:p w14:paraId="51BAE826">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ascii="宋体" w:hAnsi="宋体" w:eastAsia="宋体" w:cs="宋体"/>
          <w:spacing w:val="-1"/>
          <w:sz w:val="28"/>
          <w:szCs w:val="28"/>
          <w:lang w:eastAsia="zh-CN"/>
        </w:rPr>
        <w:t>整个野外调查工作和室内的方案编制工作严格按《矿区生态修复方案编制指南》要求进行，收集的资料较全面，工作精度符合相关规范、规程要求，质量可靠，达到了预期目的。</w:t>
      </w:r>
    </w:p>
    <w:p w14:paraId="21ADF3E5">
      <w:pPr>
        <w:jc w:val="center"/>
        <w:rPr>
          <w:rFonts w:hint="eastAsia" w:ascii="宋体" w:hAnsi="宋体" w:eastAsia="宋体" w:cs="宋体"/>
          <w:b/>
          <w:bCs/>
          <w:szCs w:val="24"/>
        </w:rPr>
      </w:pPr>
    </w:p>
    <w:p w14:paraId="770963C6">
      <w:pPr>
        <w:jc w:val="center"/>
        <w:rPr>
          <w:rFonts w:hint="eastAsia" w:ascii="宋体" w:hAnsi="宋体" w:eastAsia="宋体" w:cs="宋体"/>
          <w:b/>
          <w:bCs/>
          <w:szCs w:val="24"/>
        </w:rPr>
      </w:pPr>
      <w:r>
        <w:rPr>
          <w:rFonts w:hint="eastAsia" w:ascii="宋体" w:hAnsi="宋体" w:eastAsia="宋体" w:cs="宋体"/>
          <w:b/>
          <w:bCs/>
          <w:szCs w:val="24"/>
        </w:rPr>
        <w:t>表3-1</w:t>
      </w:r>
      <w:r>
        <w:rPr>
          <w:rFonts w:hint="eastAsia" w:ascii="宋体" w:hAnsi="宋体" w:eastAsia="宋体" w:cs="宋体"/>
          <w:b/>
          <w:bCs/>
          <w:szCs w:val="24"/>
          <w:lang w:eastAsia="zh-CN"/>
        </w:rPr>
        <w:t xml:space="preserve">  </w:t>
      </w:r>
      <w:r>
        <w:rPr>
          <w:rFonts w:hint="eastAsia" w:ascii="宋体" w:hAnsi="宋体" w:eastAsia="宋体" w:cs="宋体"/>
          <w:b/>
          <w:bCs/>
          <w:szCs w:val="24"/>
        </w:rPr>
        <w:t>完成工作量一览表</w:t>
      </w:r>
    </w:p>
    <w:tbl>
      <w:tblPr>
        <w:tblStyle w:val="22"/>
        <w:tblW w:w="8301"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75"/>
        <w:gridCol w:w="3746"/>
        <w:gridCol w:w="1628"/>
        <w:gridCol w:w="1952"/>
      </w:tblGrid>
      <w:tr w14:paraId="028DB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0" w:hRule="atLeast"/>
        </w:trPr>
        <w:tc>
          <w:tcPr>
            <w:tcW w:w="4721" w:type="dxa"/>
            <w:gridSpan w:val="2"/>
            <w:vMerge w:val="restart"/>
          </w:tcPr>
          <w:p w14:paraId="3E459B91">
            <w:pPr>
              <w:pStyle w:val="23"/>
              <w:spacing w:before="242" w:line="229" w:lineRule="auto"/>
              <w:ind w:left="1901"/>
              <w:rPr>
                <w:rFonts w:hint="eastAsia"/>
              </w:rPr>
            </w:pPr>
            <w:r>
              <w:rPr>
                <w:spacing w:val="-1"/>
              </w:rPr>
              <w:t>项目</w:t>
            </w:r>
          </w:p>
        </w:tc>
        <w:tc>
          <w:tcPr>
            <w:tcW w:w="3580" w:type="dxa"/>
            <w:gridSpan w:val="2"/>
            <w:vAlign w:val="center"/>
          </w:tcPr>
          <w:p w14:paraId="0F6DCE3D">
            <w:pPr>
              <w:pStyle w:val="23"/>
              <w:spacing w:before="79" w:line="229" w:lineRule="auto"/>
              <w:jc w:val="center"/>
              <w:rPr>
                <w:rFonts w:hint="eastAsia"/>
              </w:rPr>
            </w:pPr>
            <w:r>
              <w:rPr>
                <w:spacing w:val="10"/>
              </w:rPr>
              <w:t>工作量</w:t>
            </w:r>
          </w:p>
        </w:tc>
      </w:tr>
      <w:tr w14:paraId="32E4C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9" w:hRule="atLeast"/>
        </w:trPr>
        <w:tc>
          <w:tcPr>
            <w:tcW w:w="4721" w:type="dxa"/>
            <w:gridSpan w:val="2"/>
            <w:vMerge w:val="continue"/>
          </w:tcPr>
          <w:p w14:paraId="11732A92"/>
        </w:tc>
        <w:tc>
          <w:tcPr>
            <w:tcW w:w="1628" w:type="dxa"/>
            <w:vAlign w:val="center"/>
          </w:tcPr>
          <w:p w14:paraId="0A34D399">
            <w:pPr>
              <w:pStyle w:val="23"/>
              <w:spacing w:before="70" w:line="229" w:lineRule="auto"/>
              <w:jc w:val="center"/>
              <w:rPr>
                <w:rFonts w:hint="eastAsia"/>
              </w:rPr>
            </w:pPr>
            <w:r>
              <w:rPr>
                <w:spacing w:val="6"/>
              </w:rPr>
              <w:t>单位</w:t>
            </w:r>
          </w:p>
        </w:tc>
        <w:tc>
          <w:tcPr>
            <w:tcW w:w="1952" w:type="dxa"/>
            <w:vAlign w:val="center"/>
          </w:tcPr>
          <w:p w14:paraId="27A653AC">
            <w:pPr>
              <w:pStyle w:val="23"/>
              <w:spacing w:before="70" w:line="228" w:lineRule="auto"/>
              <w:jc w:val="center"/>
              <w:rPr>
                <w:rFonts w:hint="eastAsia"/>
              </w:rPr>
            </w:pPr>
            <w:r>
              <w:rPr>
                <w:spacing w:val="6"/>
              </w:rPr>
              <w:t>数量</w:t>
            </w:r>
          </w:p>
        </w:tc>
      </w:tr>
      <w:tr w14:paraId="0EF79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9" w:hRule="atLeast"/>
        </w:trPr>
        <w:tc>
          <w:tcPr>
            <w:tcW w:w="975" w:type="dxa"/>
            <w:vMerge w:val="restart"/>
          </w:tcPr>
          <w:p w14:paraId="0D6950B5"/>
        </w:tc>
        <w:tc>
          <w:tcPr>
            <w:tcW w:w="3746" w:type="dxa"/>
          </w:tcPr>
          <w:p w14:paraId="1C49EB53">
            <w:pPr>
              <w:pStyle w:val="23"/>
              <w:spacing w:before="73" w:line="229" w:lineRule="auto"/>
              <w:ind w:left="1462"/>
              <w:rPr>
                <w:rFonts w:hint="eastAsia"/>
              </w:rPr>
            </w:pPr>
            <w:r>
              <w:rPr>
                <w:spacing w:val="11"/>
              </w:rPr>
              <w:t>调查面积</w:t>
            </w:r>
          </w:p>
        </w:tc>
        <w:tc>
          <w:tcPr>
            <w:tcW w:w="1628" w:type="dxa"/>
            <w:vAlign w:val="center"/>
          </w:tcPr>
          <w:p w14:paraId="5AD59223">
            <w:pPr>
              <w:spacing w:before="85" w:line="212" w:lineRule="auto"/>
              <w:jc w:val="center"/>
              <w:rPr>
                <w:rFonts w:ascii="Times New Roman" w:hAnsi="Times New Roman" w:eastAsia="Times New Roman" w:cs="Times New Roman"/>
                <w:sz w:val="12"/>
                <w:szCs w:val="12"/>
              </w:rPr>
            </w:pPr>
            <w:r>
              <w:rPr>
                <w:rFonts w:ascii="Times New Roman" w:hAnsi="Times New Roman" w:eastAsia="Times New Roman" w:cs="Times New Roman"/>
                <w:position w:val="-1"/>
                <w:sz w:val="19"/>
                <w:szCs w:val="19"/>
              </w:rPr>
              <w:t>hm</w:t>
            </w:r>
            <w:r>
              <w:rPr>
                <w:rFonts w:ascii="Times New Roman" w:hAnsi="Times New Roman" w:eastAsia="Times New Roman" w:cs="Times New Roman"/>
                <w:spacing w:val="17"/>
                <w:position w:val="4"/>
                <w:sz w:val="12"/>
                <w:szCs w:val="12"/>
              </w:rPr>
              <w:t>2</w:t>
            </w:r>
          </w:p>
        </w:tc>
        <w:tc>
          <w:tcPr>
            <w:tcW w:w="1952" w:type="dxa"/>
            <w:vAlign w:val="center"/>
          </w:tcPr>
          <w:p w14:paraId="4E543164">
            <w:pPr>
              <w:spacing w:before="105" w:line="195" w:lineRule="auto"/>
              <w:jc w:val="center"/>
              <w:rPr>
                <w:rFonts w:ascii="Times New Roman" w:hAnsi="Times New Roman" w:eastAsia="宋体" w:cs="Times New Roman"/>
                <w:sz w:val="19"/>
                <w:szCs w:val="19"/>
                <w:lang w:eastAsia="zh-CN"/>
              </w:rPr>
            </w:pPr>
            <w:r>
              <w:rPr>
                <w:rFonts w:hint="eastAsia" w:ascii="Times New Roman" w:hAnsi="Times New Roman" w:eastAsia="宋体" w:cs="Times New Roman"/>
                <w:spacing w:val="4"/>
                <w:sz w:val="19"/>
                <w:szCs w:val="19"/>
                <w:lang w:eastAsia="zh-CN"/>
              </w:rPr>
              <w:t>151.84</w:t>
            </w:r>
          </w:p>
        </w:tc>
      </w:tr>
      <w:tr w14:paraId="7BF06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9" w:hRule="atLeast"/>
        </w:trPr>
        <w:tc>
          <w:tcPr>
            <w:tcW w:w="975" w:type="dxa"/>
            <w:vMerge w:val="continue"/>
          </w:tcPr>
          <w:p w14:paraId="4BCE6AB8"/>
        </w:tc>
        <w:tc>
          <w:tcPr>
            <w:tcW w:w="3746" w:type="dxa"/>
          </w:tcPr>
          <w:p w14:paraId="48E0E085">
            <w:pPr>
              <w:pStyle w:val="23"/>
              <w:spacing w:before="73" w:line="228" w:lineRule="auto"/>
              <w:ind w:left="1462"/>
              <w:rPr>
                <w:rFonts w:hint="eastAsia"/>
              </w:rPr>
            </w:pPr>
            <w:r>
              <w:rPr>
                <w:spacing w:val="11"/>
              </w:rPr>
              <w:t>调查路线</w:t>
            </w:r>
          </w:p>
        </w:tc>
        <w:tc>
          <w:tcPr>
            <w:tcW w:w="1628" w:type="dxa"/>
            <w:vAlign w:val="center"/>
          </w:tcPr>
          <w:p w14:paraId="761239B0">
            <w:pPr>
              <w:spacing w:before="101" w:line="199" w:lineRule="auto"/>
              <w:jc w:val="center"/>
              <w:rPr>
                <w:rFonts w:ascii="Times New Roman" w:hAnsi="Times New Roman" w:eastAsia="Times New Roman" w:cs="Times New Roman"/>
                <w:sz w:val="19"/>
                <w:szCs w:val="19"/>
              </w:rPr>
            </w:pPr>
            <w:r>
              <w:rPr>
                <w:rFonts w:ascii="Times New Roman" w:hAnsi="Times New Roman" w:eastAsia="Times New Roman" w:cs="Times New Roman"/>
                <w:spacing w:val="5"/>
                <w:sz w:val="19"/>
                <w:szCs w:val="19"/>
              </w:rPr>
              <w:t>km</w:t>
            </w:r>
          </w:p>
        </w:tc>
        <w:tc>
          <w:tcPr>
            <w:tcW w:w="1952" w:type="dxa"/>
            <w:vAlign w:val="center"/>
          </w:tcPr>
          <w:p w14:paraId="343BF9F1">
            <w:pPr>
              <w:spacing w:before="105" w:line="195" w:lineRule="auto"/>
              <w:jc w:val="center"/>
              <w:rPr>
                <w:rFonts w:ascii="Times New Roman" w:hAnsi="Times New Roman" w:eastAsia="宋体" w:cs="Times New Roman"/>
                <w:sz w:val="19"/>
                <w:szCs w:val="19"/>
                <w:lang w:eastAsia="zh-CN"/>
              </w:rPr>
            </w:pPr>
            <w:r>
              <w:rPr>
                <w:rFonts w:hint="eastAsia" w:ascii="Times New Roman" w:hAnsi="Times New Roman" w:eastAsia="宋体" w:cs="Times New Roman"/>
                <w:spacing w:val="4"/>
                <w:sz w:val="19"/>
                <w:szCs w:val="19"/>
                <w:lang w:eastAsia="zh-CN"/>
              </w:rPr>
              <w:t>3.58</w:t>
            </w:r>
          </w:p>
        </w:tc>
      </w:tr>
      <w:tr w14:paraId="42BE8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2" w:hRule="atLeast"/>
        </w:trPr>
        <w:tc>
          <w:tcPr>
            <w:tcW w:w="975" w:type="dxa"/>
            <w:vMerge w:val="continue"/>
          </w:tcPr>
          <w:p w14:paraId="50A093D4"/>
        </w:tc>
        <w:tc>
          <w:tcPr>
            <w:tcW w:w="3746" w:type="dxa"/>
          </w:tcPr>
          <w:p w14:paraId="3B540BD9">
            <w:pPr>
              <w:pStyle w:val="23"/>
              <w:spacing w:before="78" w:line="227" w:lineRule="auto"/>
              <w:ind w:left="1149"/>
              <w:rPr>
                <w:rFonts w:hint="eastAsia"/>
              </w:rPr>
            </w:pPr>
            <w:r>
              <w:rPr>
                <w:spacing w:val="15"/>
              </w:rPr>
              <w:t>水文地质调查点</w:t>
            </w:r>
          </w:p>
        </w:tc>
        <w:tc>
          <w:tcPr>
            <w:tcW w:w="1628" w:type="dxa"/>
            <w:vAlign w:val="center"/>
          </w:tcPr>
          <w:p w14:paraId="225769E3">
            <w:pPr>
              <w:pStyle w:val="23"/>
              <w:spacing w:before="82" w:line="223" w:lineRule="auto"/>
              <w:jc w:val="center"/>
              <w:rPr>
                <w:rFonts w:hint="eastAsia"/>
              </w:rPr>
            </w:pPr>
            <w:r>
              <w:t>点</w:t>
            </w:r>
          </w:p>
        </w:tc>
        <w:tc>
          <w:tcPr>
            <w:tcW w:w="1952" w:type="dxa"/>
            <w:vAlign w:val="center"/>
          </w:tcPr>
          <w:p w14:paraId="0E85EC14">
            <w:pPr>
              <w:spacing w:before="112" w:line="195" w:lineRule="auto"/>
              <w:jc w:val="center"/>
              <w:rPr>
                <w:rFonts w:ascii="Times New Roman" w:hAnsi="Times New Roman" w:eastAsia="Times New Roman" w:cs="Times New Roman"/>
                <w:sz w:val="19"/>
                <w:szCs w:val="19"/>
              </w:rPr>
            </w:pPr>
            <w:r>
              <w:rPr>
                <w:rFonts w:ascii="Times New Roman" w:hAnsi="Times New Roman" w:eastAsia="Times New Roman" w:cs="Times New Roman"/>
                <w:sz w:val="19"/>
                <w:szCs w:val="19"/>
              </w:rPr>
              <w:t>2</w:t>
            </w:r>
          </w:p>
        </w:tc>
      </w:tr>
      <w:tr w14:paraId="25F81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2" w:hRule="atLeast"/>
        </w:trPr>
        <w:tc>
          <w:tcPr>
            <w:tcW w:w="975" w:type="dxa"/>
            <w:vMerge w:val="restart"/>
          </w:tcPr>
          <w:p w14:paraId="216B8103">
            <w:pPr>
              <w:pStyle w:val="23"/>
              <w:spacing w:before="85" w:line="233" w:lineRule="auto"/>
              <w:ind w:left="170" w:right="185" w:firstLine="3"/>
              <w:rPr>
                <w:rFonts w:hint="eastAsia"/>
              </w:rPr>
            </w:pPr>
            <w:bookmarkStart w:id="86" w:name="bookmark254"/>
            <w:bookmarkEnd w:id="86"/>
            <w:r>
              <w:rPr>
                <w:spacing w:val="10"/>
              </w:rPr>
              <w:t>综合地</w:t>
            </w:r>
            <w:r>
              <w:rPr>
                <w:spacing w:val="11"/>
              </w:rPr>
              <w:t>质灾害</w:t>
            </w:r>
          </w:p>
          <w:p w14:paraId="34411D44">
            <w:pPr>
              <w:pStyle w:val="23"/>
              <w:spacing w:before="6" w:line="230" w:lineRule="auto"/>
              <w:ind w:left="174"/>
              <w:rPr>
                <w:rFonts w:hint="eastAsia"/>
              </w:rPr>
            </w:pPr>
            <w:r>
              <w:rPr>
                <w:spacing w:val="-1"/>
              </w:rPr>
              <w:t>调查</w:t>
            </w:r>
          </w:p>
        </w:tc>
        <w:tc>
          <w:tcPr>
            <w:tcW w:w="3746" w:type="dxa"/>
          </w:tcPr>
          <w:p w14:paraId="410C96FD">
            <w:pPr>
              <w:pStyle w:val="23"/>
              <w:spacing w:before="81" w:line="224" w:lineRule="auto"/>
              <w:ind w:left="724"/>
              <w:rPr>
                <w:rFonts w:hint="eastAsia"/>
                <w:lang w:eastAsia="zh-CN"/>
              </w:rPr>
            </w:pPr>
            <w:r>
              <w:rPr>
                <w:spacing w:val="13"/>
                <w:lang w:eastAsia="zh-CN"/>
              </w:rPr>
              <w:t>环境地质（土壤）调查点</w:t>
            </w:r>
          </w:p>
        </w:tc>
        <w:tc>
          <w:tcPr>
            <w:tcW w:w="1628" w:type="dxa"/>
            <w:vAlign w:val="center"/>
          </w:tcPr>
          <w:p w14:paraId="1B094739">
            <w:pPr>
              <w:pStyle w:val="23"/>
              <w:spacing w:before="81" w:line="224" w:lineRule="auto"/>
              <w:jc w:val="center"/>
              <w:rPr>
                <w:rFonts w:hint="eastAsia"/>
              </w:rPr>
            </w:pPr>
            <w:r>
              <w:t>点</w:t>
            </w:r>
          </w:p>
        </w:tc>
        <w:tc>
          <w:tcPr>
            <w:tcW w:w="1952" w:type="dxa"/>
            <w:vAlign w:val="center"/>
          </w:tcPr>
          <w:p w14:paraId="4DFE0AFB">
            <w:pPr>
              <w:spacing w:before="111" w:line="195" w:lineRule="auto"/>
              <w:jc w:val="center"/>
              <w:rPr>
                <w:rFonts w:ascii="Times New Roman" w:hAnsi="Times New Roman" w:eastAsia="Times New Roman" w:cs="Times New Roman"/>
                <w:sz w:val="19"/>
                <w:szCs w:val="19"/>
              </w:rPr>
            </w:pPr>
            <w:r>
              <w:rPr>
                <w:rFonts w:ascii="Times New Roman" w:hAnsi="Times New Roman" w:eastAsia="Times New Roman" w:cs="Times New Roman"/>
                <w:sz w:val="19"/>
                <w:szCs w:val="19"/>
              </w:rPr>
              <w:t>3</w:t>
            </w:r>
          </w:p>
        </w:tc>
      </w:tr>
      <w:tr w14:paraId="74752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975" w:type="dxa"/>
            <w:vMerge w:val="continue"/>
          </w:tcPr>
          <w:p w14:paraId="3ABC6327"/>
        </w:tc>
        <w:tc>
          <w:tcPr>
            <w:tcW w:w="3746" w:type="dxa"/>
          </w:tcPr>
          <w:p w14:paraId="6834A662">
            <w:pPr>
              <w:pStyle w:val="23"/>
              <w:spacing w:before="81" w:line="219" w:lineRule="auto"/>
              <w:ind w:left="1353"/>
              <w:rPr>
                <w:rFonts w:hint="eastAsia"/>
              </w:rPr>
            </w:pPr>
            <w:r>
              <w:rPr>
                <w:spacing w:val="14"/>
              </w:rPr>
              <w:t>地质调查点</w:t>
            </w:r>
          </w:p>
        </w:tc>
        <w:tc>
          <w:tcPr>
            <w:tcW w:w="1628" w:type="dxa"/>
            <w:vAlign w:val="center"/>
          </w:tcPr>
          <w:p w14:paraId="46DFE7ED">
            <w:pPr>
              <w:pStyle w:val="23"/>
              <w:spacing w:before="81" w:line="219" w:lineRule="auto"/>
              <w:jc w:val="center"/>
              <w:rPr>
                <w:rFonts w:hint="eastAsia"/>
              </w:rPr>
            </w:pPr>
            <w:r>
              <w:t>点</w:t>
            </w:r>
          </w:p>
        </w:tc>
        <w:tc>
          <w:tcPr>
            <w:tcW w:w="1952" w:type="dxa"/>
            <w:vAlign w:val="center"/>
          </w:tcPr>
          <w:p w14:paraId="16D13F46">
            <w:pPr>
              <w:spacing w:before="110" w:line="195" w:lineRule="auto"/>
              <w:jc w:val="center"/>
              <w:rPr>
                <w:rFonts w:ascii="Times New Roman" w:hAnsi="Times New Roman" w:eastAsia="宋体" w:cs="Times New Roman"/>
                <w:sz w:val="19"/>
                <w:szCs w:val="19"/>
                <w:lang w:eastAsia="zh-CN"/>
              </w:rPr>
            </w:pPr>
            <w:r>
              <w:rPr>
                <w:rFonts w:hint="eastAsia" w:ascii="Times New Roman" w:hAnsi="Times New Roman" w:eastAsia="宋体" w:cs="Times New Roman"/>
                <w:spacing w:val="-9"/>
                <w:sz w:val="19"/>
                <w:szCs w:val="19"/>
                <w:lang w:eastAsia="zh-CN"/>
              </w:rPr>
              <w:t>5</w:t>
            </w:r>
          </w:p>
        </w:tc>
      </w:tr>
      <w:tr w14:paraId="10C71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8" w:hRule="atLeast"/>
        </w:trPr>
        <w:tc>
          <w:tcPr>
            <w:tcW w:w="975" w:type="dxa"/>
            <w:vMerge w:val="continue"/>
          </w:tcPr>
          <w:p w14:paraId="4C94A56A"/>
        </w:tc>
        <w:tc>
          <w:tcPr>
            <w:tcW w:w="3746" w:type="dxa"/>
            <w:vAlign w:val="center"/>
          </w:tcPr>
          <w:p w14:paraId="7D9ABE21">
            <w:pPr>
              <w:pStyle w:val="23"/>
              <w:spacing w:before="73" w:line="229" w:lineRule="auto"/>
              <w:ind w:left="1462"/>
              <w:jc w:val="both"/>
              <w:rPr>
                <w:rFonts w:hint="eastAsia"/>
                <w:spacing w:val="11"/>
              </w:rPr>
            </w:pPr>
            <w:r>
              <w:rPr>
                <w:spacing w:val="11"/>
              </w:rPr>
              <w:t>数码照片</w:t>
            </w:r>
          </w:p>
        </w:tc>
        <w:tc>
          <w:tcPr>
            <w:tcW w:w="1628" w:type="dxa"/>
            <w:vAlign w:val="center"/>
          </w:tcPr>
          <w:p w14:paraId="347CE409">
            <w:pPr>
              <w:pStyle w:val="23"/>
              <w:spacing w:before="73" w:line="229" w:lineRule="auto"/>
              <w:jc w:val="center"/>
              <w:rPr>
                <w:rFonts w:hint="eastAsia"/>
                <w:spacing w:val="11"/>
              </w:rPr>
            </w:pPr>
            <w:r>
              <w:rPr>
                <w:spacing w:val="11"/>
              </w:rPr>
              <w:t>张</w:t>
            </w:r>
          </w:p>
        </w:tc>
        <w:tc>
          <w:tcPr>
            <w:tcW w:w="1952" w:type="dxa"/>
            <w:vAlign w:val="center"/>
          </w:tcPr>
          <w:p w14:paraId="36450469">
            <w:pPr>
              <w:pStyle w:val="23"/>
              <w:spacing w:before="73" w:line="229" w:lineRule="auto"/>
              <w:jc w:val="center"/>
              <w:rPr>
                <w:spacing w:val="11"/>
                <w:lang w:eastAsia="zh-CN"/>
              </w:rPr>
            </w:pPr>
            <w:r>
              <w:rPr>
                <w:rFonts w:hint="eastAsia"/>
                <w:spacing w:val="11"/>
                <w:lang w:eastAsia="zh-CN"/>
              </w:rPr>
              <w:t>20</w:t>
            </w:r>
          </w:p>
        </w:tc>
      </w:tr>
      <w:tr w14:paraId="2C832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8" w:hRule="atLeast"/>
        </w:trPr>
        <w:tc>
          <w:tcPr>
            <w:tcW w:w="975" w:type="dxa"/>
            <w:vMerge w:val="restart"/>
          </w:tcPr>
          <w:p w14:paraId="16971579">
            <w:pPr>
              <w:pStyle w:val="23"/>
              <w:spacing w:before="132" w:line="228" w:lineRule="auto"/>
              <w:ind w:left="289"/>
              <w:rPr>
                <w:rFonts w:hint="eastAsia"/>
              </w:rPr>
            </w:pPr>
            <w:r>
              <w:rPr>
                <w:spacing w:val="2"/>
              </w:rPr>
              <w:t>收集</w:t>
            </w:r>
          </w:p>
          <w:p w14:paraId="3D1F8C50">
            <w:pPr>
              <w:pStyle w:val="23"/>
              <w:spacing w:before="9" w:line="229" w:lineRule="auto"/>
              <w:ind w:left="293"/>
              <w:rPr>
                <w:rFonts w:hint="eastAsia"/>
              </w:rPr>
            </w:pPr>
            <w:r>
              <w:t>资料</w:t>
            </w:r>
          </w:p>
        </w:tc>
        <w:tc>
          <w:tcPr>
            <w:tcW w:w="3746" w:type="dxa"/>
          </w:tcPr>
          <w:p w14:paraId="7E56AC3B">
            <w:pPr>
              <w:pStyle w:val="23"/>
              <w:spacing w:before="91" w:line="210" w:lineRule="auto"/>
              <w:ind w:left="1278"/>
              <w:rPr>
                <w:rFonts w:hint="eastAsia"/>
              </w:rPr>
            </w:pPr>
            <w:r>
              <w:rPr>
                <w:spacing w:val="10"/>
              </w:rPr>
              <w:t>区域地质报告</w:t>
            </w:r>
          </w:p>
        </w:tc>
        <w:tc>
          <w:tcPr>
            <w:tcW w:w="1628" w:type="dxa"/>
            <w:vAlign w:val="center"/>
          </w:tcPr>
          <w:p w14:paraId="5E1A4519">
            <w:pPr>
              <w:pStyle w:val="23"/>
              <w:spacing w:before="91" w:line="210" w:lineRule="auto"/>
              <w:jc w:val="center"/>
              <w:rPr>
                <w:rFonts w:hint="eastAsia"/>
              </w:rPr>
            </w:pPr>
            <w:r>
              <w:rPr>
                <w:spacing w:val="1"/>
              </w:rPr>
              <w:t>份</w:t>
            </w:r>
          </w:p>
        </w:tc>
        <w:tc>
          <w:tcPr>
            <w:tcW w:w="1952" w:type="dxa"/>
            <w:vAlign w:val="center"/>
          </w:tcPr>
          <w:p w14:paraId="30D9BF0D">
            <w:pPr>
              <w:spacing w:before="126" w:line="195" w:lineRule="auto"/>
              <w:jc w:val="center"/>
              <w:rPr>
                <w:rFonts w:ascii="Times New Roman" w:hAnsi="Times New Roman" w:eastAsia="Times New Roman" w:cs="Times New Roman"/>
                <w:sz w:val="19"/>
                <w:szCs w:val="19"/>
              </w:rPr>
            </w:pPr>
            <w:r>
              <w:rPr>
                <w:rFonts w:ascii="Times New Roman" w:hAnsi="Times New Roman" w:eastAsia="Times New Roman" w:cs="Times New Roman"/>
                <w:sz w:val="19"/>
                <w:szCs w:val="19"/>
              </w:rPr>
              <w:t>1</w:t>
            </w:r>
          </w:p>
        </w:tc>
      </w:tr>
      <w:tr w14:paraId="379C0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8" w:hRule="atLeast"/>
        </w:trPr>
        <w:tc>
          <w:tcPr>
            <w:tcW w:w="975" w:type="dxa"/>
            <w:vMerge w:val="continue"/>
          </w:tcPr>
          <w:p w14:paraId="3FD2D857"/>
        </w:tc>
        <w:tc>
          <w:tcPr>
            <w:tcW w:w="3746" w:type="dxa"/>
          </w:tcPr>
          <w:p w14:paraId="16C24664">
            <w:pPr>
              <w:pStyle w:val="23"/>
              <w:spacing w:before="92" w:line="209" w:lineRule="auto"/>
              <w:ind w:left="832"/>
              <w:rPr>
                <w:rFonts w:hint="eastAsia"/>
                <w:lang w:eastAsia="zh-CN"/>
              </w:rPr>
            </w:pPr>
            <w:r>
              <w:rPr>
                <w:spacing w:val="16"/>
                <w:lang w:eastAsia="zh-CN"/>
              </w:rPr>
              <w:t>详查报告、开采方案等</w:t>
            </w:r>
          </w:p>
        </w:tc>
        <w:tc>
          <w:tcPr>
            <w:tcW w:w="1628" w:type="dxa"/>
            <w:vAlign w:val="center"/>
          </w:tcPr>
          <w:p w14:paraId="36133A6D">
            <w:pPr>
              <w:pStyle w:val="23"/>
              <w:spacing w:before="92" w:line="209" w:lineRule="auto"/>
              <w:jc w:val="center"/>
              <w:rPr>
                <w:rFonts w:hint="eastAsia"/>
              </w:rPr>
            </w:pPr>
            <w:r>
              <w:rPr>
                <w:spacing w:val="1"/>
              </w:rPr>
              <w:t>份</w:t>
            </w:r>
          </w:p>
        </w:tc>
        <w:tc>
          <w:tcPr>
            <w:tcW w:w="1952" w:type="dxa"/>
            <w:vAlign w:val="center"/>
          </w:tcPr>
          <w:p w14:paraId="1AB5481C">
            <w:pPr>
              <w:spacing w:before="132" w:line="192" w:lineRule="auto"/>
              <w:jc w:val="center"/>
              <w:rPr>
                <w:rFonts w:ascii="Times New Roman" w:hAnsi="Times New Roman" w:eastAsia="宋体" w:cs="Times New Roman"/>
                <w:sz w:val="19"/>
                <w:szCs w:val="19"/>
                <w:lang w:eastAsia="zh-CN"/>
              </w:rPr>
            </w:pPr>
            <w:r>
              <w:rPr>
                <w:rFonts w:hint="eastAsia" w:ascii="Times New Roman" w:hAnsi="Times New Roman" w:eastAsia="宋体" w:cs="Times New Roman"/>
                <w:sz w:val="19"/>
                <w:szCs w:val="19"/>
                <w:lang w:eastAsia="zh-CN"/>
              </w:rPr>
              <w:t>1</w:t>
            </w:r>
          </w:p>
        </w:tc>
      </w:tr>
      <w:tr w14:paraId="045EA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8" w:hRule="atLeast"/>
        </w:trPr>
        <w:tc>
          <w:tcPr>
            <w:tcW w:w="975" w:type="dxa"/>
            <w:vMerge w:val="restart"/>
          </w:tcPr>
          <w:p w14:paraId="787F6E14">
            <w:pPr>
              <w:pStyle w:val="23"/>
              <w:spacing w:before="266" w:line="229" w:lineRule="auto"/>
              <w:ind w:left="226"/>
              <w:rPr>
                <w:rFonts w:hint="eastAsia"/>
              </w:rPr>
            </w:pPr>
            <w:r>
              <w:rPr>
                <w:spacing w:val="-1"/>
              </w:rPr>
              <w:t>成果</w:t>
            </w:r>
          </w:p>
        </w:tc>
        <w:tc>
          <w:tcPr>
            <w:tcW w:w="3746" w:type="dxa"/>
          </w:tcPr>
          <w:p w14:paraId="4BAEE4D5">
            <w:pPr>
              <w:pStyle w:val="23"/>
              <w:spacing w:before="95" w:line="206" w:lineRule="auto"/>
              <w:ind w:left="1457"/>
              <w:rPr>
                <w:rFonts w:hint="eastAsia"/>
              </w:rPr>
            </w:pPr>
            <w:r>
              <w:rPr>
                <w:spacing w:val="9"/>
              </w:rPr>
              <w:t>报告</w:t>
            </w:r>
          </w:p>
        </w:tc>
        <w:tc>
          <w:tcPr>
            <w:tcW w:w="1628" w:type="dxa"/>
            <w:vAlign w:val="center"/>
          </w:tcPr>
          <w:p w14:paraId="0F8DAB0E">
            <w:pPr>
              <w:pStyle w:val="23"/>
              <w:spacing w:before="95" w:line="206" w:lineRule="auto"/>
              <w:jc w:val="center"/>
              <w:rPr>
                <w:rFonts w:hint="eastAsia"/>
              </w:rPr>
            </w:pPr>
            <w:r>
              <w:rPr>
                <w:spacing w:val="1"/>
              </w:rPr>
              <w:t>份</w:t>
            </w:r>
          </w:p>
        </w:tc>
        <w:tc>
          <w:tcPr>
            <w:tcW w:w="1952" w:type="dxa"/>
            <w:vAlign w:val="center"/>
          </w:tcPr>
          <w:p w14:paraId="48E7EC3C">
            <w:pPr>
              <w:spacing w:before="133" w:line="192" w:lineRule="auto"/>
              <w:jc w:val="center"/>
              <w:rPr>
                <w:rFonts w:ascii="Times New Roman" w:hAnsi="Times New Roman" w:eastAsia="Times New Roman" w:cs="Times New Roman"/>
                <w:sz w:val="19"/>
                <w:szCs w:val="19"/>
              </w:rPr>
            </w:pPr>
            <w:r>
              <w:rPr>
                <w:rFonts w:ascii="Times New Roman" w:hAnsi="Times New Roman" w:eastAsia="Times New Roman" w:cs="Times New Roman"/>
                <w:sz w:val="19"/>
                <w:szCs w:val="19"/>
              </w:rPr>
              <w:t>1</w:t>
            </w:r>
          </w:p>
        </w:tc>
      </w:tr>
      <w:tr w14:paraId="2F68C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8" w:hRule="atLeast"/>
        </w:trPr>
        <w:tc>
          <w:tcPr>
            <w:tcW w:w="975" w:type="dxa"/>
            <w:vMerge w:val="continue"/>
          </w:tcPr>
          <w:p w14:paraId="3DBF89F4"/>
        </w:tc>
        <w:tc>
          <w:tcPr>
            <w:tcW w:w="3746" w:type="dxa"/>
          </w:tcPr>
          <w:p w14:paraId="781C273C">
            <w:pPr>
              <w:pStyle w:val="23"/>
              <w:spacing w:before="107" w:line="228" w:lineRule="auto"/>
              <w:ind w:left="1478"/>
              <w:rPr>
                <w:rFonts w:hint="eastAsia"/>
              </w:rPr>
            </w:pPr>
            <w:r>
              <w:rPr>
                <w:spacing w:val="-1"/>
              </w:rPr>
              <w:t>图件</w:t>
            </w:r>
          </w:p>
        </w:tc>
        <w:tc>
          <w:tcPr>
            <w:tcW w:w="1628" w:type="dxa"/>
            <w:vAlign w:val="center"/>
          </w:tcPr>
          <w:p w14:paraId="6B1A2194">
            <w:pPr>
              <w:pStyle w:val="23"/>
              <w:spacing w:before="109" w:line="230" w:lineRule="auto"/>
              <w:jc w:val="center"/>
              <w:rPr>
                <w:rFonts w:hint="eastAsia"/>
              </w:rPr>
            </w:pPr>
            <w:r>
              <w:t>张</w:t>
            </w:r>
          </w:p>
        </w:tc>
        <w:tc>
          <w:tcPr>
            <w:tcW w:w="1952" w:type="dxa"/>
            <w:vAlign w:val="center"/>
          </w:tcPr>
          <w:p w14:paraId="64872379">
            <w:pPr>
              <w:spacing w:before="139" w:line="195" w:lineRule="auto"/>
              <w:jc w:val="center"/>
              <w:rPr>
                <w:rFonts w:ascii="Times New Roman" w:hAnsi="Times New Roman" w:eastAsia="Times New Roman" w:cs="Times New Roman"/>
                <w:sz w:val="19"/>
                <w:szCs w:val="19"/>
              </w:rPr>
            </w:pPr>
            <w:r>
              <w:rPr>
                <w:rFonts w:ascii="Times New Roman" w:hAnsi="Times New Roman" w:eastAsia="Times New Roman" w:cs="Times New Roman"/>
                <w:sz w:val="19"/>
                <w:szCs w:val="19"/>
              </w:rPr>
              <w:t>8</w:t>
            </w:r>
          </w:p>
        </w:tc>
      </w:tr>
    </w:tbl>
    <w:p w14:paraId="6237E465">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hint="eastAsia" w:ascii="宋体" w:hAnsi="宋体" w:eastAsia="宋体" w:cs="宋体"/>
          <w:spacing w:val="-1"/>
          <w:sz w:val="28"/>
          <w:szCs w:val="28"/>
          <w:lang w:eastAsia="zh-CN"/>
        </w:rPr>
        <w:t>⑶</w:t>
      </w:r>
      <w:r>
        <w:rPr>
          <w:rFonts w:ascii="宋体" w:hAnsi="宋体" w:eastAsia="宋体" w:cs="宋体"/>
          <w:spacing w:val="-1"/>
          <w:sz w:val="28"/>
          <w:szCs w:val="28"/>
          <w:lang w:eastAsia="zh-CN"/>
        </w:rPr>
        <w:t>生态系统调查概述</w:t>
      </w:r>
    </w:p>
    <w:p w14:paraId="1541E810">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ascii="宋体" w:hAnsi="宋体" w:eastAsia="宋体" w:cs="宋体"/>
          <w:spacing w:val="-1"/>
          <w:sz w:val="28"/>
          <w:szCs w:val="28"/>
          <w:lang w:eastAsia="zh-CN"/>
        </w:rPr>
        <w:t>依据GB/T43933-2024《</w:t>
      </w:r>
      <w:r>
        <w:rPr>
          <w:rFonts w:hint="eastAsia" w:ascii="宋体" w:hAnsi="宋体" w:eastAsia="宋体" w:cs="宋体"/>
          <w:spacing w:val="-1"/>
          <w:sz w:val="28"/>
          <w:szCs w:val="28"/>
          <w:lang w:eastAsia="zh-CN"/>
        </w:rPr>
        <w:t>金属矿土地复垦与生态修复技术</w:t>
      </w:r>
      <w:r>
        <w:rPr>
          <w:rFonts w:ascii="宋体" w:hAnsi="宋体" w:eastAsia="宋体" w:cs="宋体"/>
          <w:spacing w:val="-1"/>
          <w:sz w:val="28"/>
          <w:szCs w:val="28"/>
          <w:lang w:eastAsia="zh-CN"/>
        </w:rPr>
        <w:t>规范》中6.2.1条款关于生态环境现状调查与评估的要求，以及GB/T43934-2024《矿区生态修复技术指南》中6.2.1条款关于生态退化问题识别与诊断的指导，通过现场勘查、遥感解译、样方调查</w:t>
      </w:r>
      <w:r>
        <w:rPr>
          <w:rFonts w:hint="eastAsia" w:ascii="宋体" w:hAnsi="宋体" w:eastAsia="宋体" w:cs="宋体"/>
          <w:spacing w:val="-1"/>
          <w:sz w:val="28"/>
          <w:szCs w:val="28"/>
          <w:lang w:eastAsia="zh-CN"/>
        </w:rPr>
        <w:t>及</w:t>
      </w:r>
      <w:r>
        <w:rPr>
          <w:rFonts w:ascii="宋体" w:hAnsi="宋体" w:eastAsia="宋体" w:cs="宋体"/>
          <w:spacing w:val="-1"/>
          <w:sz w:val="28"/>
          <w:szCs w:val="28"/>
          <w:lang w:eastAsia="zh-CN"/>
        </w:rPr>
        <w:t>生物多样性监测等多种技术手段，对本矿区生态系统退化现状进行了系统调查与诊断。</w:t>
      </w:r>
    </w:p>
    <w:p w14:paraId="1C705A79">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bookmarkStart w:id="87" w:name="bookmark84"/>
      <w:bookmarkEnd w:id="87"/>
      <w:bookmarkStart w:id="88" w:name="bookmark83"/>
      <w:bookmarkEnd w:id="88"/>
      <w:r>
        <w:rPr>
          <w:rFonts w:hint="eastAsia" w:ascii="宋体" w:hAnsi="宋体" w:eastAsia="宋体" w:cs="宋体"/>
          <w:spacing w:val="-1"/>
          <w:sz w:val="28"/>
          <w:szCs w:val="28"/>
          <w:lang w:eastAsia="zh-CN"/>
        </w:rPr>
        <w:t>2、评估范围和评估级别</w:t>
      </w:r>
    </w:p>
    <w:p w14:paraId="1D4B9153">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hint="eastAsia" w:ascii="宋体" w:hAnsi="宋体" w:eastAsia="宋体" w:cs="宋体"/>
          <w:spacing w:val="-1"/>
          <w:sz w:val="28"/>
          <w:szCs w:val="28"/>
          <w:lang w:eastAsia="zh-CN"/>
        </w:rPr>
        <w:t>⑴</w:t>
      </w:r>
      <w:r>
        <w:rPr>
          <w:rFonts w:ascii="宋体" w:hAnsi="宋体" w:eastAsia="宋体" w:cs="宋体"/>
          <w:spacing w:val="-1"/>
          <w:sz w:val="28"/>
          <w:szCs w:val="28"/>
          <w:lang w:eastAsia="zh-CN"/>
        </w:rPr>
        <w:t>评估范围</w:t>
      </w:r>
    </w:p>
    <w:p w14:paraId="70E8A657">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ascii="宋体" w:hAnsi="宋体" w:eastAsia="宋体" w:cs="宋体"/>
          <w:spacing w:val="-1"/>
          <w:sz w:val="28"/>
          <w:szCs w:val="28"/>
          <w:lang w:eastAsia="zh-CN"/>
        </w:rPr>
      </w:pPr>
      <w:r>
        <w:rPr>
          <w:rFonts w:ascii="宋体" w:hAnsi="宋体" w:eastAsia="宋体" w:cs="宋体"/>
          <w:spacing w:val="-1"/>
          <w:sz w:val="28"/>
          <w:szCs w:val="28"/>
          <w:lang w:eastAsia="zh-CN"/>
        </w:rPr>
        <w:t>根据</w:t>
      </w:r>
      <w:r>
        <w:rPr>
          <w:rFonts w:hint="eastAsia" w:ascii="宋体" w:hAnsi="宋体" w:eastAsia="宋体" w:cs="宋体"/>
          <w:sz w:val="28"/>
          <w:szCs w:val="28"/>
          <w:lang w:eastAsia="zh-CN"/>
        </w:rPr>
        <w:t>《地质灾害危险性评估规范》（GB/T40112-2021）</w:t>
      </w:r>
      <w:r>
        <w:rPr>
          <w:rFonts w:ascii="宋体" w:hAnsi="宋体" w:eastAsia="宋体" w:cs="宋体"/>
          <w:spacing w:val="-1"/>
          <w:sz w:val="28"/>
          <w:szCs w:val="28"/>
          <w:lang w:eastAsia="zh-CN"/>
        </w:rPr>
        <w:t>，考虑地质灾害危险性评估要求、矿区地形地貌、地质构造条件、开采条件、环境地质问题以及今后生产可能引发或加剧的环境地质问题，综合考虑未来开采可能对地质环境影响的程度，适当考虑地形起伏变化及矿山开采对地下水资源影响情况圈定评估区范围，项目区外扩20～200m作为项目影响区范围，综合确定评估区面积为</w:t>
      </w:r>
      <w:r>
        <w:rPr>
          <w:rFonts w:hint="eastAsia" w:ascii="宋体" w:hAnsi="宋体" w:eastAsia="宋体" w:cs="宋体"/>
          <w:spacing w:val="-1"/>
          <w:sz w:val="28"/>
          <w:szCs w:val="28"/>
          <w:lang w:val="en-US" w:eastAsia="zh-CN"/>
        </w:rPr>
        <w:t>151.84</w:t>
      </w:r>
      <w:r>
        <w:rPr>
          <w:rFonts w:ascii="宋体" w:hAnsi="宋体" w:eastAsia="宋体" w:cs="宋体"/>
          <w:spacing w:val="-1"/>
          <w:sz w:val="28"/>
          <w:szCs w:val="28"/>
          <w:lang w:eastAsia="zh-CN"/>
        </w:rPr>
        <w:t>hm</w:t>
      </w:r>
      <w:r>
        <w:rPr>
          <w:rFonts w:ascii="宋体" w:hAnsi="宋体" w:eastAsia="宋体" w:cs="宋体"/>
          <w:spacing w:val="-1"/>
          <w:sz w:val="28"/>
          <w:szCs w:val="28"/>
          <w:vertAlign w:val="superscript"/>
          <w:lang w:eastAsia="zh-CN"/>
        </w:rPr>
        <w:t>2</w:t>
      </w:r>
      <w:r>
        <w:rPr>
          <w:rFonts w:ascii="宋体" w:hAnsi="宋体" w:eastAsia="宋体" w:cs="宋体"/>
          <w:spacing w:val="-1"/>
          <w:sz w:val="28"/>
          <w:szCs w:val="28"/>
          <w:lang w:eastAsia="zh-CN"/>
        </w:rPr>
        <w:t>。</w:t>
      </w:r>
    </w:p>
    <w:p w14:paraId="2C3E6F98">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hint="eastAsia" w:ascii="宋体" w:hAnsi="宋体" w:eastAsia="宋体" w:cs="宋体"/>
          <w:spacing w:val="-1"/>
          <w:sz w:val="28"/>
          <w:szCs w:val="28"/>
          <w:lang w:eastAsia="zh-CN"/>
        </w:rPr>
        <w:t>⑵</w:t>
      </w:r>
      <w:r>
        <w:rPr>
          <w:rFonts w:ascii="宋体" w:hAnsi="宋体" w:eastAsia="宋体" w:cs="宋体"/>
          <w:spacing w:val="-1"/>
          <w:sz w:val="28"/>
          <w:szCs w:val="28"/>
          <w:lang w:eastAsia="zh-CN"/>
        </w:rPr>
        <w:t>评估级别</w:t>
      </w:r>
    </w:p>
    <w:p w14:paraId="724BF39B">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ascii="宋体" w:hAnsi="宋体" w:eastAsia="宋体" w:cs="宋体"/>
          <w:spacing w:val="-1"/>
          <w:sz w:val="28"/>
          <w:szCs w:val="28"/>
          <w:lang w:eastAsia="zh-CN"/>
        </w:rPr>
        <w:t>根据《矿山地质环境保护与恢复治理方案编制规范》（DZ/T0223-2011），矿山环境影响评估级别根据评估区重要程度、矿山生产建设规模及矿山地质环境复杂程度等综合确定。</w:t>
      </w:r>
    </w:p>
    <w:p w14:paraId="66CD75E5">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hint="eastAsia" w:ascii="宋体" w:hAnsi="宋体" w:eastAsia="宋体" w:cs="宋体"/>
          <w:spacing w:val="-1"/>
          <w:sz w:val="28"/>
          <w:szCs w:val="28"/>
          <w:lang w:eastAsia="zh-CN"/>
        </w:rPr>
        <w:t>①</w:t>
      </w:r>
      <w:r>
        <w:rPr>
          <w:rFonts w:ascii="宋体" w:hAnsi="宋体" w:eastAsia="宋体" w:cs="宋体"/>
          <w:spacing w:val="-1"/>
          <w:sz w:val="28"/>
          <w:szCs w:val="28"/>
          <w:lang w:eastAsia="zh-CN"/>
        </w:rPr>
        <w:t>评估区重要程度</w:t>
      </w:r>
    </w:p>
    <w:p w14:paraId="7330C44E">
      <w:pPr>
        <w:keepNext w:val="0"/>
        <w:keepLines w:val="0"/>
        <w:pageBreakBefore w:val="0"/>
        <w:widowControl w:val="0"/>
        <w:kinsoku/>
        <w:wordWrap/>
        <w:overflowPunct w:val="0"/>
        <w:topLinePunct w:val="0"/>
        <w:autoSpaceDE/>
        <w:autoSpaceDN/>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ascii="宋体" w:hAnsi="宋体" w:eastAsia="宋体" w:cs="宋体"/>
          <w:spacing w:val="-1"/>
          <w:sz w:val="28"/>
          <w:szCs w:val="28"/>
          <w:lang w:eastAsia="zh-CN"/>
        </w:rPr>
        <w:t>评估区内无固定居民点，远离旅游景区（点）和自然保护区及旅游景区（点），无较重要水源地；采矿活动破坏</w:t>
      </w:r>
      <w:r>
        <w:rPr>
          <w:rFonts w:hint="eastAsia" w:ascii="宋体" w:hAnsi="宋体" w:eastAsia="宋体" w:cs="宋体"/>
          <w:spacing w:val="-1"/>
          <w:sz w:val="28"/>
          <w:szCs w:val="28"/>
          <w:lang w:eastAsia="zh-CN"/>
        </w:rPr>
        <w:t>的</w:t>
      </w:r>
      <w:r>
        <w:rPr>
          <w:rFonts w:ascii="宋体" w:hAnsi="宋体" w:eastAsia="宋体" w:cs="宋体"/>
          <w:spacing w:val="-1"/>
          <w:sz w:val="28"/>
          <w:szCs w:val="28"/>
          <w:lang w:eastAsia="zh-CN"/>
        </w:rPr>
        <w:t>地类为</w:t>
      </w:r>
      <w:r>
        <w:rPr>
          <w:rFonts w:hint="eastAsia" w:ascii="宋体" w:hAnsi="宋体" w:eastAsia="宋体" w:cs="宋体"/>
          <w:spacing w:val="-1"/>
          <w:sz w:val="28"/>
          <w:szCs w:val="28"/>
          <w:lang w:eastAsia="zh-CN"/>
        </w:rPr>
        <w:t>采矿用地、农村道路及沙地</w:t>
      </w:r>
      <w:r>
        <w:rPr>
          <w:rFonts w:ascii="宋体" w:hAnsi="宋体" w:eastAsia="宋体" w:cs="宋体"/>
          <w:spacing w:val="-1"/>
          <w:sz w:val="28"/>
          <w:szCs w:val="28"/>
          <w:lang w:eastAsia="zh-CN"/>
        </w:rPr>
        <w:t>。依据《矿山地质环境保护与恢复治理方案编制规范》（DZ/T0223-2011）中的附录B“评估区重要程度分级表”，评估区重要程度属</w:t>
      </w:r>
      <w:r>
        <w:rPr>
          <w:rFonts w:hint="eastAsia" w:ascii="宋体" w:hAnsi="宋体" w:eastAsia="宋体" w:cs="宋体"/>
          <w:spacing w:val="-1"/>
          <w:sz w:val="28"/>
          <w:szCs w:val="28"/>
          <w:lang w:eastAsia="zh-CN"/>
        </w:rPr>
        <w:t>一般</w:t>
      </w:r>
      <w:r>
        <w:rPr>
          <w:rFonts w:ascii="宋体" w:hAnsi="宋体" w:eastAsia="宋体" w:cs="宋体"/>
          <w:spacing w:val="-1"/>
          <w:sz w:val="28"/>
          <w:szCs w:val="28"/>
          <w:lang w:eastAsia="zh-CN"/>
        </w:rPr>
        <w:t>区（表3-2）。</w:t>
      </w:r>
    </w:p>
    <w:p w14:paraId="30E7D6AE">
      <w:pPr>
        <w:jc w:val="center"/>
        <w:rPr>
          <w:rFonts w:hint="eastAsia" w:ascii="宋体" w:hAnsi="宋体" w:eastAsia="宋体" w:cs="宋体"/>
          <w:b/>
          <w:bCs/>
          <w:szCs w:val="24"/>
          <w:lang w:eastAsia="zh-CN"/>
        </w:rPr>
      </w:pPr>
      <w:r>
        <w:rPr>
          <w:rFonts w:hint="eastAsia" w:ascii="宋体" w:hAnsi="宋体" w:eastAsia="宋体" w:cs="宋体"/>
          <w:b/>
          <w:bCs/>
          <w:szCs w:val="24"/>
          <w:lang w:eastAsia="zh-CN"/>
        </w:rPr>
        <w:t>表3-2  评估区重要程度分级表</w:t>
      </w:r>
    </w:p>
    <w:tbl>
      <w:tblPr>
        <w:tblStyle w:val="22"/>
        <w:tblW w:w="830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089"/>
        <w:gridCol w:w="2715"/>
        <w:gridCol w:w="2503"/>
      </w:tblGrid>
      <w:tr w14:paraId="5D3666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3089" w:type="dxa"/>
            <w:vAlign w:val="center"/>
          </w:tcPr>
          <w:p w14:paraId="49238BE1">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b/>
                <w:bCs/>
                <w:spacing w:val="-14"/>
                <w:sz w:val="21"/>
                <w:szCs w:val="21"/>
              </w:rPr>
              <w:t>重要区</w:t>
            </w:r>
          </w:p>
        </w:tc>
        <w:tc>
          <w:tcPr>
            <w:tcW w:w="2715" w:type="dxa"/>
            <w:vAlign w:val="center"/>
          </w:tcPr>
          <w:p w14:paraId="73BA1931">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b/>
                <w:bCs/>
                <w:spacing w:val="-10"/>
                <w:sz w:val="21"/>
                <w:szCs w:val="21"/>
              </w:rPr>
              <w:t>较重要区</w:t>
            </w:r>
          </w:p>
        </w:tc>
        <w:tc>
          <w:tcPr>
            <w:tcW w:w="2503" w:type="dxa"/>
            <w:vAlign w:val="center"/>
          </w:tcPr>
          <w:p w14:paraId="45656091">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b/>
                <w:bCs/>
                <w:spacing w:val="-12"/>
                <w:sz w:val="21"/>
                <w:szCs w:val="21"/>
              </w:rPr>
              <w:t>一般区</w:t>
            </w:r>
          </w:p>
        </w:tc>
      </w:tr>
      <w:tr w14:paraId="044E0F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3089" w:type="dxa"/>
            <w:vAlign w:val="center"/>
          </w:tcPr>
          <w:p w14:paraId="0B0A15AF">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both"/>
              <w:textAlignment w:val="baseline"/>
              <w:rPr>
                <w:rFonts w:hint="eastAsia" w:ascii="宋体" w:hAnsi="宋体" w:eastAsia="宋体" w:cs="宋体"/>
                <w:sz w:val="21"/>
                <w:szCs w:val="21"/>
                <w:lang w:eastAsia="zh-CN"/>
              </w:rPr>
            </w:pPr>
            <w:r>
              <w:rPr>
                <w:rFonts w:hint="eastAsia" w:ascii="宋体" w:hAnsi="宋体" w:eastAsia="宋体" w:cs="宋体"/>
                <w:spacing w:val="-2"/>
                <w:sz w:val="21"/>
                <w:szCs w:val="21"/>
                <w:lang w:eastAsia="zh-CN"/>
              </w:rPr>
              <w:t>分布有500人以上的居民集</w:t>
            </w:r>
            <w:r>
              <w:rPr>
                <w:rFonts w:hint="eastAsia" w:ascii="宋体" w:hAnsi="宋体" w:eastAsia="宋体" w:cs="宋体"/>
                <w:spacing w:val="-18"/>
                <w:sz w:val="21"/>
                <w:szCs w:val="21"/>
                <w:lang w:eastAsia="zh-CN"/>
              </w:rPr>
              <w:t>中居住区</w:t>
            </w:r>
          </w:p>
        </w:tc>
        <w:tc>
          <w:tcPr>
            <w:tcW w:w="2715" w:type="dxa"/>
            <w:vAlign w:val="center"/>
          </w:tcPr>
          <w:p w14:paraId="1CEE8CDB">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both"/>
              <w:textAlignment w:val="baseline"/>
              <w:rPr>
                <w:rFonts w:hint="eastAsia" w:ascii="宋体" w:hAnsi="宋体" w:eastAsia="宋体" w:cs="宋体"/>
                <w:sz w:val="21"/>
                <w:szCs w:val="21"/>
                <w:lang w:eastAsia="zh-CN"/>
              </w:rPr>
            </w:pPr>
            <w:r>
              <w:rPr>
                <w:rFonts w:hint="eastAsia" w:ascii="宋体" w:hAnsi="宋体" w:eastAsia="宋体" w:cs="宋体"/>
                <w:spacing w:val="-5"/>
                <w:sz w:val="21"/>
                <w:szCs w:val="21"/>
                <w:lang w:eastAsia="zh-CN"/>
              </w:rPr>
              <w:t>分布有200～500人的居</w:t>
            </w:r>
            <w:r>
              <w:rPr>
                <w:rFonts w:hint="eastAsia" w:ascii="宋体" w:hAnsi="宋体" w:eastAsia="宋体" w:cs="宋体"/>
                <w:spacing w:val="-14"/>
                <w:sz w:val="21"/>
                <w:szCs w:val="21"/>
                <w:lang w:eastAsia="zh-CN"/>
              </w:rPr>
              <w:t>民集中居住区</w:t>
            </w:r>
          </w:p>
        </w:tc>
        <w:tc>
          <w:tcPr>
            <w:tcW w:w="2503" w:type="dxa"/>
            <w:vAlign w:val="center"/>
          </w:tcPr>
          <w:p w14:paraId="069E5C78">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both"/>
              <w:textAlignment w:val="baseline"/>
              <w:rPr>
                <w:rFonts w:hint="eastAsia" w:ascii="宋体" w:hAnsi="宋体" w:eastAsia="宋体" w:cs="宋体"/>
                <w:sz w:val="21"/>
                <w:szCs w:val="21"/>
                <w:lang w:eastAsia="zh-CN"/>
              </w:rPr>
            </w:pPr>
            <w:r>
              <w:rPr>
                <w:rFonts w:hint="eastAsia" w:ascii="宋体" w:hAnsi="宋体" w:eastAsia="宋体" w:cs="宋体"/>
                <w:spacing w:val="6"/>
                <w:sz w:val="21"/>
                <w:szCs w:val="21"/>
                <w:lang w:eastAsia="zh-CN"/>
              </w:rPr>
              <w:t>居民居住分散，居民集</w:t>
            </w:r>
            <w:r>
              <w:rPr>
                <w:rFonts w:hint="eastAsia" w:ascii="宋体" w:hAnsi="宋体" w:eastAsia="宋体" w:cs="宋体"/>
                <w:spacing w:val="-6"/>
                <w:sz w:val="21"/>
                <w:szCs w:val="21"/>
                <w:lang w:eastAsia="zh-CN"/>
              </w:rPr>
              <w:t>中居住区人口在200人</w:t>
            </w:r>
            <w:r>
              <w:rPr>
                <w:rFonts w:hint="eastAsia" w:ascii="宋体" w:hAnsi="宋体" w:eastAsia="宋体" w:cs="宋体"/>
                <w:spacing w:val="-26"/>
                <w:sz w:val="21"/>
                <w:szCs w:val="21"/>
                <w:lang w:eastAsia="zh-CN"/>
              </w:rPr>
              <w:t>以下</w:t>
            </w:r>
            <w:r>
              <w:rPr>
                <w:rFonts w:hint="eastAsia" w:ascii="宋体" w:hAnsi="宋体" w:eastAsia="宋体" w:cs="宋体"/>
                <w:b/>
                <w:bCs/>
                <w:spacing w:val="-26"/>
                <w:sz w:val="21"/>
                <w:szCs w:val="21"/>
                <w:lang w:eastAsia="zh-CN"/>
              </w:rPr>
              <w:t>(√)</w:t>
            </w:r>
          </w:p>
        </w:tc>
      </w:tr>
      <w:tr w14:paraId="49FE75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089" w:type="dxa"/>
            <w:vAlign w:val="center"/>
          </w:tcPr>
          <w:p w14:paraId="41C2269C">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both"/>
              <w:textAlignment w:val="baseline"/>
              <w:rPr>
                <w:rFonts w:hint="eastAsia" w:ascii="宋体" w:hAnsi="宋体" w:eastAsia="宋体" w:cs="宋体"/>
                <w:sz w:val="21"/>
                <w:szCs w:val="21"/>
                <w:lang w:eastAsia="zh-CN"/>
              </w:rPr>
            </w:pPr>
            <w:r>
              <w:rPr>
                <w:rFonts w:hint="eastAsia" w:ascii="宋体" w:hAnsi="宋体" w:eastAsia="宋体" w:cs="宋体"/>
                <w:spacing w:val="4"/>
                <w:sz w:val="21"/>
                <w:szCs w:val="21"/>
                <w:lang w:eastAsia="zh-CN"/>
              </w:rPr>
              <w:t>分布有高速公路、一级公</w:t>
            </w:r>
            <w:r>
              <w:rPr>
                <w:rFonts w:hint="eastAsia" w:ascii="宋体" w:hAnsi="宋体" w:eastAsia="宋体" w:cs="宋体"/>
                <w:spacing w:val="-5"/>
                <w:sz w:val="21"/>
                <w:szCs w:val="21"/>
                <w:lang w:eastAsia="zh-CN"/>
              </w:rPr>
              <w:t>路、铁路、中型以上水利、</w:t>
            </w:r>
            <w:r>
              <w:rPr>
                <w:rFonts w:hint="eastAsia" w:ascii="宋体" w:hAnsi="宋体" w:eastAsia="宋体" w:cs="宋体"/>
                <w:spacing w:val="15"/>
                <w:sz w:val="21"/>
                <w:szCs w:val="21"/>
                <w:lang w:eastAsia="zh-CN"/>
              </w:rPr>
              <w:t>电力工程或其他重要建筑</w:t>
            </w:r>
            <w:r>
              <w:rPr>
                <w:rFonts w:hint="eastAsia" w:ascii="宋体" w:hAnsi="宋体" w:eastAsia="宋体" w:cs="宋体"/>
                <w:spacing w:val="-8"/>
                <w:sz w:val="21"/>
                <w:szCs w:val="21"/>
                <w:lang w:eastAsia="zh-CN"/>
              </w:rPr>
              <w:t>设施</w:t>
            </w:r>
          </w:p>
        </w:tc>
        <w:tc>
          <w:tcPr>
            <w:tcW w:w="2715" w:type="dxa"/>
            <w:vAlign w:val="center"/>
          </w:tcPr>
          <w:p w14:paraId="50500C68">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both"/>
              <w:textAlignment w:val="baseline"/>
              <w:rPr>
                <w:rFonts w:hint="eastAsia" w:ascii="宋体" w:hAnsi="宋体" w:eastAsia="宋体" w:cs="宋体"/>
                <w:sz w:val="21"/>
                <w:szCs w:val="21"/>
                <w:lang w:eastAsia="zh-CN"/>
              </w:rPr>
            </w:pPr>
            <w:r>
              <w:rPr>
                <w:rFonts w:hint="eastAsia" w:ascii="宋体" w:hAnsi="宋体" w:eastAsia="宋体" w:cs="宋体"/>
                <w:spacing w:val="6"/>
                <w:sz w:val="21"/>
                <w:szCs w:val="21"/>
                <w:lang w:eastAsia="zh-CN"/>
              </w:rPr>
              <w:t>分布有二级公路、小型</w:t>
            </w:r>
            <w:r>
              <w:rPr>
                <w:rFonts w:hint="eastAsia" w:ascii="宋体" w:hAnsi="宋体" w:eastAsia="宋体" w:cs="宋体"/>
                <w:spacing w:val="-5"/>
                <w:sz w:val="21"/>
                <w:szCs w:val="21"/>
                <w:lang w:eastAsia="zh-CN"/>
              </w:rPr>
              <w:t>水利、电力工程或其他较重要建筑设施</w:t>
            </w:r>
          </w:p>
        </w:tc>
        <w:tc>
          <w:tcPr>
            <w:tcW w:w="2503" w:type="dxa"/>
            <w:vAlign w:val="center"/>
          </w:tcPr>
          <w:p w14:paraId="29F8D48A">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both"/>
              <w:textAlignment w:val="baseline"/>
              <w:rPr>
                <w:rFonts w:hint="eastAsia" w:ascii="宋体" w:hAnsi="宋体" w:eastAsia="宋体" w:cs="宋体"/>
                <w:sz w:val="21"/>
                <w:szCs w:val="21"/>
                <w:lang w:eastAsia="zh-CN"/>
              </w:rPr>
            </w:pPr>
            <w:r>
              <w:rPr>
                <w:rFonts w:hint="eastAsia" w:ascii="宋体" w:hAnsi="宋体" w:eastAsia="宋体" w:cs="宋体"/>
                <w:spacing w:val="5"/>
                <w:sz w:val="21"/>
                <w:szCs w:val="21"/>
                <w:lang w:eastAsia="zh-CN"/>
              </w:rPr>
              <w:t>无重要交通要道或建筑</w:t>
            </w:r>
            <w:r>
              <w:rPr>
                <w:rFonts w:hint="eastAsia" w:ascii="宋体" w:hAnsi="宋体" w:eastAsia="宋体" w:cs="宋体"/>
                <w:spacing w:val="-20"/>
                <w:sz w:val="21"/>
                <w:szCs w:val="21"/>
                <w:lang w:eastAsia="zh-CN"/>
              </w:rPr>
              <w:t>设施</w:t>
            </w:r>
            <w:r>
              <w:rPr>
                <w:rFonts w:hint="eastAsia" w:ascii="宋体" w:hAnsi="宋体" w:eastAsia="宋体" w:cs="宋体"/>
                <w:b/>
                <w:bCs/>
                <w:spacing w:val="-20"/>
                <w:sz w:val="21"/>
                <w:szCs w:val="21"/>
                <w:lang w:eastAsia="zh-CN"/>
              </w:rPr>
              <w:t>(√)</w:t>
            </w:r>
          </w:p>
        </w:tc>
      </w:tr>
      <w:tr w14:paraId="5AD455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9" w:hRule="atLeast"/>
        </w:trPr>
        <w:tc>
          <w:tcPr>
            <w:tcW w:w="3089" w:type="dxa"/>
            <w:vAlign w:val="center"/>
          </w:tcPr>
          <w:p w14:paraId="41DD08B4">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both"/>
              <w:textAlignment w:val="baseline"/>
              <w:rPr>
                <w:rFonts w:hint="eastAsia" w:ascii="宋体" w:hAnsi="宋体" w:eastAsia="宋体" w:cs="宋体"/>
                <w:sz w:val="21"/>
                <w:szCs w:val="21"/>
                <w:lang w:eastAsia="zh-CN"/>
              </w:rPr>
            </w:pPr>
            <w:r>
              <w:rPr>
                <w:rFonts w:hint="eastAsia" w:ascii="宋体" w:hAnsi="宋体" w:eastAsia="宋体" w:cs="宋体"/>
                <w:spacing w:val="2"/>
                <w:sz w:val="21"/>
                <w:szCs w:val="21"/>
                <w:lang w:eastAsia="zh-CN"/>
              </w:rPr>
              <w:t>矿区紧邻国家级自然保护</w:t>
            </w:r>
            <w:r>
              <w:rPr>
                <w:rFonts w:hint="eastAsia" w:ascii="宋体" w:hAnsi="宋体" w:eastAsia="宋体" w:cs="宋体"/>
                <w:spacing w:val="-10"/>
                <w:sz w:val="21"/>
                <w:szCs w:val="21"/>
                <w:lang w:eastAsia="zh-CN"/>
              </w:rPr>
              <w:t>区(含地质公园、风景名胜区</w:t>
            </w:r>
            <w:r>
              <w:rPr>
                <w:rFonts w:hint="eastAsia" w:ascii="宋体" w:hAnsi="宋体" w:eastAsia="宋体" w:cs="宋体"/>
                <w:spacing w:val="-5"/>
                <w:sz w:val="21"/>
                <w:szCs w:val="21"/>
                <w:lang w:eastAsia="zh-CN"/>
              </w:rPr>
              <w:t>等)或重要旅游景区(点)</w:t>
            </w:r>
          </w:p>
        </w:tc>
        <w:tc>
          <w:tcPr>
            <w:tcW w:w="2715" w:type="dxa"/>
            <w:vAlign w:val="center"/>
          </w:tcPr>
          <w:p w14:paraId="57A3B5D5">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both"/>
              <w:textAlignment w:val="baseline"/>
              <w:rPr>
                <w:rFonts w:hint="eastAsia" w:ascii="宋体" w:hAnsi="宋体" w:eastAsia="宋体" w:cs="宋体"/>
                <w:sz w:val="21"/>
                <w:szCs w:val="21"/>
                <w:lang w:eastAsia="zh-CN"/>
              </w:rPr>
            </w:pPr>
            <w:r>
              <w:rPr>
                <w:rFonts w:hint="eastAsia" w:ascii="宋体" w:hAnsi="宋体" w:eastAsia="宋体" w:cs="宋体"/>
                <w:spacing w:val="5"/>
                <w:sz w:val="21"/>
                <w:szCs w:val="21"/>
                <w:lang w:eastAsia="zh-CN"/>
              </w:rPr>
              <w:t>紧邻省级、县级自然保</w:t>
            </w:r>
            <w:r>
              <w:rPr>
                <w:rFonts w:hint="eastAsia" w:ascii="宋体" w:hAnsi="宋体" w:eastAsia="宋体" w:cs="宋体"/>
                <w:spacing w:val="7"/>
                <w:sz w:val="21"/>
                <w:szCs w:val="21"/>
                <w:lang w:eastAsia="zh-CN"/>
              </w:rPr>
              <w:t>护区或较重要旅游景区</w:t>
            </w:r>
            <w:r>
              <w:rPr>
                <w:rFonts w:hint="eastAsia" w:ascii="宋体" w:hAnsi="宋体" w:eastAsia="宋体" w:cs="宋体"/>
                <w:spacing w:val="-6"/>
                <w:sz w:val="21"/>
                <w:szCs w:val="21"/>
                <w:lang w:eastAsia="zh-CN"/>
              </w:rPr>
              <w:t>(点)</w:t>
            </w:r>
          </w:p>
        </w:tc>
        <w:tc>
          <w:tcPr>
            <w:tcW w:w="2503" w:type="dxa"/>
            <w:vAlign w:val="center"/>
          </w:tcPr>
          <w:p w14:paraId="3E83A16B">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both"/>
              <w:textAlignment w:val="baseline"/>
              <w:rPr>
                <w:rFonts w:hint="eastAsia" w:ascii="宋体" w:hAnsi="宋体" w:eastAsia="宋体" w:cs="宋体"/>
                <w:sz w:val="21"/>
                <w:szCs w:val="21"/>
                <w:lang w:eastAsia="zh-CN"/>
              </w:rPr>
            </w:pPr>
            <w:r>
              <w:rPr>
                <w:rFonts w:hint="eastAsia" w:ascii="宋体" w:hAnsi="宋体" w:eastAsia="宋体" w:cs="宋体"/>
                <w:spacing w:val="5"/>
                <w:sz w:val="21"/>
                <w:szCs w:val="21"/>
                <w:lang w:eastAsia="zh-CN"/>
              </w:rPr>
              <w:t>远离各级自然保护区及</w:t>
            </w:r>
            <w:r>
              <w:rPr>
                <w:rFonts w:hint="eastAsia" w:ascii="宋体" w:hAnsi="宋体" w:eastAsia="宋体" w:cs="宋体"/>
                <w:spacing w:val="-14"/>
                <w:sz w:val="21"/>
                <w:szCs w:val="21"/>
                <w:lang w:eastAsia="zh-CN"/>
              </w:rPr>
              <w:t>旅游景区(点)</w:t>
            </w:r>
            <w:r>
              <w:rPr>
                <w:rFonts w:hint="eastAsia" w:ascii="宋体" w:hAnsi="宋体" w:eastAsia="宋体" w:cs="宋体"/>
                <w:b/>
                <w:bCs/>
                <w:spacing w:val="-14"/>
                <w:sz w:val="21"/>
                <w:szCs w:val="21"/>
                <w:lang w:eastAsia="zh-CN"/>
              </w:rPr>
              <w:t>(√)</w:t>
            </w:r>
          </w:p>
        </w:tc>
      </w:tr>
      <w:tr w14:paraId="6EC135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3089" w:type="dxa"/>
            <w:vAlign w:val="center"/>
          </w:tcPr>
          <w:p w14:paraId="1ED06D28">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有重要水源地</w:t>
            </w:r>
          </w:p>
        </w:tc>
        <w:tc>
          <w:tcPr>
            <w:tcW w:w="2715" w:type="dxa"/>
            <w:vAlign w:val="center"/>
          </w:tcPr>
          <w:p w14:paraId="3CF8544C">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有较重要水源地</w:t>
            </w:r>
          </w:p>
        </w:tc>
        <w:tc>
          <w:tcPr>
            <w:tcW w:w="2503" w:type="dxa"/>
            <w:vAlign w:val="center"/>
          </w:tcPr>
          <w:p w14:paraId="1DC6CD5D">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4"/>
                <w:sz w:val="21"/>
                <w:szCs w:val="21"/>
              </w:rPr>
              <w:t>无较重要水源地</w:t>
            </w:r>
            <w:r>
              <w:rPr>
                <w:rFonts w:hint="eastAsia" w:ascii="宋体" w:hAnsi="宋体" w:eastAsia="宋体" w:cs="宋体"/>
                <w:b/>
                <w:bCs/>
                <w:spacing w:val="-14"/>
                <w:sz w:val="21"/>
                <w:szCs w:val="21"/>
              </w:rPr>
              <w:t>(√)</w:t>
            </w:r>
          </w:p>
        </w:tc>
      </w:tr>
      <w:tr w14:paraId="0B1B0E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 w:hRule="atLeast"/>
        </w:trPr>
        <w:tc>
          <w:tcPr>
            <w:tcW w:w="3089" w:type="dxa"/>
            <w:vAlign w:val="center"/>
          </w:tcPr>
          <w:p w14:paraId="053D1BC9">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9"/>
                <w:sz w:val="21"/>
                <w:szCs w:val="21"/>
              </w:rPr>
              <w:t>破坏耕地、园地</w:t>
            </w:r>
          </w:p>
        </w:tc>
        <w:tc>
          <w:tcPr>
            <w:tcW w:w="2715" w:type="dxa"/>
            <w:vAlign w:val="center"/>
          </w:tcPr>
          <w:p w14:paraId="145FAB17">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7"/>
                <w:sz w:val="21"/>
                <w:szCs w:val="21"/>
              </w:rPr>
              <w:t>破坏林地、草地</w:t>
            </w:r>
          </w:p>
        </w:tc>
        <w:tc>
          <w:tcPr>
            <w:tcW w:w="2503" w:type="dxa"/>
            <w:vAlign w:val="center"/>
          </w:tcPr>
          <w:p w14:paraId="35334641">
            <w:pPr>
              <w:keepNext w:val="0"/>
              <w:keepLines w:val="0"/>
              <w:pageBreakBefore w:val="0"/>
              <w:widowControl w:val="0"/>
              <w:kinsoku/>
              <w:wordWrap/>
              <w:overflowPunct/>
              <w:topLinePunct w:val="0"/>
              <w:autoSpaceDE w:val="0"/>
              <w:autoSpaceDN w:val="0"/>
              <w:bidi w:val="0"/>
              <w:adjustRightInd/>
              <w:snapToGrid w:val="0"/>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破坏其它类型土地</w:t>
            </w:r>
            <w:r>
              <w:rPr>
                <w:rFonts w:hint="eastAsia" w:ascii="宋体" w:hAnsi="宋体" w:eastAsia="宋体" w:cs="宋体"/>
                <w:b/>
                <w:bCs/>
                <w:spacing w:val="-9"/>
                <w:sz w:val="21"/>
                <w:szCs w:val="21"/>
              </w:rPr>
              <w:t>(√)</w:t>
            </w:r>
          </w:p>
        </w:tc>
      </w:tr>
    </w:tbl>
    <w:p w14:paraId="280BB509">
      <w:pPr>
        <w:widowControl w:val="0"/>
        <w:kinsoku/>
        <w:adjustRightInd/>
        <w:snapToGrid/>
        <w:spacing w:line="360" w:lineRule="auto"/>
        <w:rPr>
          <w:rFonts w:hint="eastAsia" w:ascii="仿宋" w:hAnsi="仿宋" w:eastAsia="仿宋" w:cs="仿宋"/>
          <w:sz w:val="24"/>
          <w:szCs w:val="24"/>
          <w:lang w:eastAsia="zh-CN"/>
        </w:rPr>
      </w:pPr>
      <w:r>
        <w:rPr>
          <w:rFonts w:ascii="仿宋" w:hAnsi="仿宋" w:eastAsia="仿宋" w:cs="仿宋"/>
          <w:spacing w:val="-1"/>
          <w:sz w:val="24"/>
          <w:szCs w:val="24"/>
          <w:lang w:eastAsia="zh-CN"/>
        </w:rPr>
        <w:t>注：评估区重要程度分级确定采取上一级别优先的原则，只要有一条符合者即为该级</w:t>
      </w:r>
      <w:r>
        <w:rPr>
          <w:rFonts w:ascii="仿宋" w:hAnsi="仿宋" w:eastAsia="仿宋" w:cs="仿宋"/>
          <w:spacing w:val="-10"/>
          <w:sz w:val="24"/>
          <w:szCs w:val="24"/>
          <w:lang w:eastAsia="zh-CN"/>
        </w:rPr>
        <w:t>别。</w:t>
      </w:r>
    </w:p>
    <w:p w14:paraId="642CEF9C">
      <w:pPr>
        <w:keepNext w:val="0"/>
        <w:keepLines w:val="0"/>
        <w:pageBreakBefore w:val="0"/>
        <w:widowControl w:val="0"/>
        <w:kinsoku/>
        <w:wordWrap/>
        <w:overflowPunct w:val="0"/>
        <w:topLinePunct w:val="0"/>
        <w:autoSpaceDE w:val="0"/>
        <w:autoSpaceDN w:val="0"/>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hint="eastAsia" w:ascii="宋体" w:hAnsi="宋体" w:eastAsia="宋体" w:cs="宋体"/>
          <w:spacing w:val="-1"/>
          <w:sz w:val="28"/>
          <w:szCs w:val="28"/>
          <w:lang w:eastAsia="zh-CN"/>
        </w:rPr>
        <w:t>②</w:t>
      </w:r>
      <w:r>
        <w:rPr>
          <w:rFonts w:ascii="宋体" w:hAnsi="宋体" w:eastAsia="宋体" w:cs="宋体"/>
          <w:spacing w:val="-1"/>
          <w:sz w:val="28"/>
          <w:szCs w:val="28"/>
          <w:lang w:eastAsia="zh-CN"/>
        </w:rPr>
        <w:t>矿山生产建设规模</w:t>
      </w:r>
    </w:p>
    <w:p w14:paraId="2AF12F9B">
      <w:pPr>
        <w:keepNext w:val="0"/>
        <w:keepLines w:val="0"/>
        <w:pageBreakBefore w:val="0"/>
        <w:widowControl w:val="0"/>
        <w:kinsoku/>
        <w:wordWrap/>
        <w:overflowPunct w:val="0"/>
        <w:topLinePunct w:val="0"/>
        <w:autoSpaceDE w:val="0"/>
        <w:autoSpaceDN w:val="0"/>
        <w:bidi w:val="0"/>
        <w:adjustRightInd/>
        <w:snapToGrid/>
        <w:spacing w:line="360" w:lineRule="auto"/>
        <w:ind w:firstLine="556" w:firstLineChars="200"/>
        <w:jc w:val="both"/>
        <w:textAlignment w:val="baseline"/>
        <w:rPr>
          <w:rFonts w:hint="eastAsia" w:ascii="宋体" w:hAnsi="宋体" w:eastAsia="宋体" w:cs="宋体"/>
          <w:spacing w:val="-1"/>
          <w:sz w:val="28"/>
          <w:szCs w:val="28"/>
          <w:lang w:eastAsia="zh-CN"/>
        </w:rPr>
      </w:pPr>
      <w:r>
        <w:rPr>
          <w:rFonts w:ascii="宋体" w:hAnsi="宋体" w:eastAsia="宋体" w:cs="宋体"/>
          <w:spacing w:val="-1"/>
          <w:sz w:val="28"/>
          <w:szCs w:val="28"/>
          <w:lang w:eastAsia="zh-CN"/>
        </w:rPr>
        <w:t>矿山设计开采建筑用石料</w:t>
      </w:r>
      <w:r>
        <w:rPr>
          <w:rFonts w:hint="eastAsia" w:ascii="宋体" w:hAnsi="宋体" w:eastAsia="宋体" w:cs="宋体"/>
          <w:spacing w:val="-1"/>
          <w:sz w:val="28"/>
          <w:szCs w:val="28"/>
          <w:lang w:eastAsia="zh-CN"/>
        </w:rPr>
        <w:t>用建筑用砂</w:t>
      </w:r>
      <w:r>
        <w:rPr>
          <w:rFonts w:ascii="宋体" w:hAnsi="宋体" w:eastAsia="宋体" w:cs="宋体"/>
          <w:spacing w:val="-1"/>
          <w:sz w:val="28"/>
          <w:szCs w:val="28"/>
          <w:lang w:eastAsia="zh-CN"/>
        </w:rPr>
        <w:t>生产规模为</w:t>
      </w:r>
      <w:r>
        <w:rPr>
          <w:rFonts w:hint="eastAsia" w:ascii="宋体" w:hAnsi="宋体" w:eastAsia="宋体" w:cs="宋体"/>
          <w:spacing w:val="-1"/>
          <w:sz w:val="28"/>
          <w:szCs w:val="28"/>
          <w:lang w:val="en-US" w:eastAsia="zh-CN"/>
        </w:rPr>
        <w:t>5</w:t>
      </w:r>
      <w:r>
        <w:rPr>
          <w:rFonts w:ascii="宋体" w:hAnsi="宋体" w:eastAsia="宋体" w:cs="宋体"/>
          <w:spacing w:val="-1"/>
          <w:sz w:val="28"/>
          <w:szCs w:val="28"/>
          <w:lang w:eastAsia="zh-CN"/>
        </w:rPr>
        <w:t>0万m³/年，依据《矿山地质环境保护与恢复治理方案编制规范》（DZ/T0223-2011）中的附录D：“矿山生产建设规模分类一览表”，判定生产建设规模属</w:t>
      </w:r>
      <w:r>
        <w:rPr>
          <w:rFonts w:hint="eastAsia" w:ascii="宋体" w:hAnsi="宋体" w:eastAsia="宋体" w:cs="宋体"/>
          <w:spacing w:val="-1"/>
          <w:sz w:val="28"/>
          <w:szCs w:val="28"/>
          <w:lang w:eastAsia="zh-CN"/>
        </w:rPr>
        <w:t>大</w:t>
      </w:r>
      <w:r>
        <w:rPr>
          <w:rFonts w:ascii="宋体" w:hAnsi="宋体" w:eastAsia="宋体" w:cs="宋体"/>
          <w:spacing w:val="-1"/>
          <w:sz w:val="28"/>
          <w:szCs w:val="28"/>
          <w:lang w:eastAsia="zh-CN"/>
        </w:rPr>
        <w:t>型（见表3-3）。</w:t>
      </w:r>
    </w:p>
    <w:p w14:paraId="2D4EEB8B">
      <w:pPr>
        <w:jc w:val="center"/>
        <w:rPr>
          <w:rFonts w:hint="eastAsia" w:ascii="宋体" w:hAnsi="宋体" w:eastAsia="宋体" w:cs="宋体"/>
          <w:b/>
          <w:bCs/>
          <w:szCs w:val="24"/>
          <w:lang w:eastAsia="zh-CN"/>
        </w:rPr>
      </w:pPr>
      <w:r>
        <w:rPr>
          <w:rFonts w:hint="eastAsia" w:ascii="宋体" w:hAnsi="宋体" w:eastAsia="宋体" w:cs="宋体"/>
          <w:b/>
          <w:bCs/>
          <w:szCs w:val="24"/>
          <w:lang w:eastAsia="zh-CN"/>
        </w:rPr>
        <w:t>表3-3  矿山生产建设规模分类一览表（节选）</w:t>
      </w:r>
    </w:p>
    <w:tbl>
      <w:tblPr>
        <w:tblStyle w:val="22"/>
        <w:tblW w:w="852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62"/>
        <w:gridCol w:w="1648"/>
        <w:gridCol w:w="1178"/>
        <w:gridCol w:w="1215"/>
        <w:gridCol w:w="1410"/>
        <w:gridCol w:w="1412"/>
      </w:tblGrid>
      <w:tr w14:paraId="54F6E3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1662" w:type="dxa"/>
            <w:vMerge w:val="restart"/>
            <w:tcBorders>
              <w:bottom w:val="nil"/>
            </w:tcBorders>
            <w:vAlign w:val="center"/>
          </w:tcPr>
          <w:p w14:paraId="21B94CC1">
            <w:pPr>
              <w:spacing w:before="78" w:line="221" w:lineRule="auto"/>
              <w:jc w:val="center"/>
              <w:rPr>
                <w:rFonts w:hint="eastAsia" w:ascii="宋体" w:hAnsi="宋体" w:eastAsia="宋体" w:cs="宋体"/>
              </w:rPr>
            </w:pPr>
            <w:r>
              <w:rPr>
                <w:rFonts w:hint="eastAsia" w:ascii="宋体" w:hAnsi="宋体" w:eastAsia="宋体" w:cs="宋体"/>
                <w:spacing w:val="-6"/>
              </w:rPr>
              <w:t>矿种类别</w:t>
            </w:r>
          </w:p>
        </w:tc>
        <w:tc>
          <w:tcPr>
            <w:tcW w:w="1648" w:type="dxa"/>
            <w:vMerge w:val="restart"/>
            <w:tcBorders>
              <w:bottom w:val="nil"/>
            </w:tcBorders>
            <w:vAlign w:val="center"/>
          </w:tcPr>
          <w:p w14:paraId="2294801B">
            <w:pPr>
              <w:spacing w:before="78" w:line="221" w:lineRule="auto"/>
              <w:jc w:val="center"/>
              <w:rPr>
                <w:rFonts w:hint="eastAsia" w:ascii="宋体" w:hAnsi="宋体" w:eastAsia="宋体" w:cs="宋体"/>
              </w:rPr>
            </w:pPr>
            <w:r>
              <w:rPr>
                <w:rFonts w:hint="eastAsia" w:ascii="宋体" w:hAnsi="宋体" w:eastAsia="宋体" w:cs="宋体"/>
                <w:spacing w:val="-5"/>
              </w:rPr>
              <w:t>计量单位/年</w:t>
            </w:r>
          </w:p>
        </w:tc>
        <w:tc>
          <w:tcPr>
            <w:tcW w:w="3803" w:type="dxa"/>
            <w:gridSpan w:val="3"/>
            <w:vAlign w:val="center"/>
          </w:tcPr>
          <w:p w14:paraId="36035E3B">
            <w:pPr>
              <w:spacing w:before="115" w:line="223" w:lineRule="auto"/>
              <w:jc w:val="center"/>
              <w:rPr>
                <w:rFonts w:hint="eastAsia" w:ascii="宋体" w:hAnsi="宋体" w:eastAsia="宋体" w:cs="宋体"/>
                <w:lang w:eastAsia="zh-CN"/>
              </w:rPr>
            </w:pPr>
            <w:r>
              <w:rPr>
                <w:rFonts w:hint="eastAsia" w:ascii="宋体" w:hAnsi="宋体" w:eastAsia="宋体" w:cs="宋体"/>
                <w:spacing w:val="-4"/>
                <w:lang w:eastAsia="zh-CN"/>
              </w:rPr>
              <w:t>矿山生产建设规模级别</w:t>
            </w:r>
          </w:p>
        </w:tc>
        <w:tc>
          <w:tcPr>
            <w:tcW w:w="1412" w:type="dxa"/>
            <w:vMerge w:val="restart"/>
            <w:tcBorders>
              <w:bottom w:val="nil"/>
            </w:tcBorders>
            <w:vAlign w:val="center"/>
          </w:tcPr>
          <w:p w14:paraId="3029F709">
            <w:pPr>
              <w:spacing w:before="78" w:line="224" w:lineRule="auto"/>
              <w:jc w:val="center"/>
              <w:rPr>
                <w:rFonts w:hint="eastAsia" w:ascii="宋体" w:hAnsi="宋体" w:eastAsia="宋体" w:cs="宋体"/>
              </w:rPr>
            </w:pPr>
            <w:r>
              <w:rPr>
                <w:rFonts w:hint="eastAsia" w:ascii="宋体" w:hAnsi="宋体" w:eastAsia="宋体" w:cs="宋体"/>
                <w:spacing w:val="-9"/>
              </w:rPr>
              <w:t>备注</w:t>
            </w:r>
          </w:p>
        </w:tc>
      </w:tr>
      <w:tr w14:paraId="193922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662" w:type="dxa"/>
            <w:vMerge w:val="continue"/>
            <w:tcBorders>
              <w:top w:val="nil"/>
            </w:tcBorders>
            <w:vAlign w:val="center"/>
          </w:tcPr>
          <w:p w14:paraId="1E8CCBB1">
            <w:pPr>
              <w:jc w:val="center"/>
              <w:rPr>
                <w:rFonts w:hint="eastAsia" w:ascii="宋体" w:hAnsi="宋体" w:eastAsia="宋体" w:cs="宋体"/>
              </w:rPr>
            </w:pPr>
          </w:p>
        </w:tc>
        <w:tc>
          <w:tcPr>
            <w:tcW w:w="1648" w:type="dxa"/>
            <w:vMerge w:val="continue"/>
            <w:tcBorders>
              <w:top w:val="nil"/>
            </w:tcBorders>
            <w:vAlign w:val="center"/>
          </w:tcPr>
          <w:p w14:paraId="1A6F17F3">
            <w:pPr>
              <w:jc w:val="center"/>
              <w:rPr>
                <w:rFonts w:hint="eastAsia" w:ascii="宋体" w:hAnsi="宋体" w:eastAsia="宋体" w:cs="宋体"/>
              </w:rPr>
            </w:pPr>
          </w:p>
        </w:tc>
        <w:tc>
          <w:tcPr>
            <w:tcW w:w="1178" w:type="dxa"/>
            <w:vAlign w:val="center"/>
          </w:tcPr>
          <w:p w14:paraId="32F6862B">
            <w:pPr>
              <w:spacing w:before="151" w:line="222" w:lineRule="auto"/>
              <w:jc w:val="center"/>
              <w:rPr>
                <w:rFonts w:hint="eastAsia" w:ascii="宋体" w:hAnsi="宋体" w:eastAsia="宋体" w:cs="宋体"/>
                <w:spacing w:val="-24"/>
              </w:rPr>
            </w:pPr>
            <w:r>
              <w:rPr>
                <w:rFonts w:hint="eastAsia" w:ascii="宋体" w:hAnsi="宋体" w:eastAsia="宋体" w:cs="宋体"/>
                <w:spacing w:val="-24"/>
              </w:rPr>
              <w:t>大型</w:t>
            </w:r>
          </w:p>
        </w:tc>
        <w:tc>
          <w:tcPr>
            <w:tcW w:w="1215" w:type="dxa"/>
            <w:vAlign w:val="center"/>
          </w:tcPr>
          <w:p w14:paraId="3685DEA3">
            <w:pPr>
              <w:spacing w:before="151" w:line="222" w:lineRule="auto"/>
              <w:jc w:val="center"/>
              <w:rPr>
                <w:rFonts w:hint="eastAsia" w:ascii="宋体" w:hAnsi="宋体" w:eastAsia="宋体" w:cs="宋体"/>
              </w:rPr>
            </w:pPr>
            <w:r>
              <w:rPr>
                <w:rFonts w:hint="eastAsia" w:ascii="宋体" w:hAnsi="宋体" w:eastAsia="宋体" w:cs="宋体"/>
                <w:spacing w:val="-24"/>
              </w:rPr>
              <w:t>中型</w:t>
            </w:r>
          </w:p>
        </w:tc>
        <w:tc>
          <w:tcPr>
            <w:tcW w:w="1410" w:type="dxa"/>
            <w:vAlign w:val="center"/>
          </w:tcPr>
          <w:p w14:paraId="48BAE3D6">
            <w:pPr>
              <w:spacing w:before="154" w:line="225" w:lineRule="auto"/>
              <w:jc w:val="center"/>
              <w:rPr>
                <w:rFonts w:hint="eastAsia" w:ascii="宋体" w:hAnsi="宋体" w:eastAsia="宋体" w:cs="宋体"/>
              </w:rPr>
            </w:pPr>
            <w:r>
              <w:rPr>
                <w:rFonts w:hint="eastAsia" w:ascii="宋体" w:hAnsi="宋体" w:eastAsia="宋体" w:cs="宋体"/>
                <w:spacing w:val="-8"/>
              </w:rPr>
              <w:t>小型</w:t>
            </w:r>
          </w:p>
        </w:tc>
        <w:tc>
          <w:tcPr>
            <w:tcW w:w="1412" w:type="dxa"/>
            <w:vMerge w:val="continue"/>
            <w:tcBorders>
              <w:top w:val="nil"/>
            </w:tcBorders>
            <w:vAlign w:val="center"/>
          </w:tcPr>
          <w:p w14:paraId="44C373AA">
            <w:pPr>
              <w:jc w:val="center"/>
              <w:rPr>
                <w:rFonts w:hint="eastAsia" w:ascii="宋体" w:hAnsi="宋体" w:eastAsia="宋体" w:cs="宋体"/>
              </w:rPr>
            </w:pPr>
          </w:p>
        </w:tc>
      </w:tr>
      <w:tr w14:paraId="0EEF76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1662" w:type="dxa"/>
            <w:vAlign w:val="center"/>
          </w:tcPr>
          <w:p w14:paraId="3FE643EF">
            <w:pPr>
              <w:spacing w:before="140" w:line="220" w:lineRule="auto"/>
              <w:jc w:val="center"/>
              <w:rPr>
                <w:rFonts w:hint="eastAsia" w:ascii="宋体" w:hAnsi="宋体" w:eastAsia="宋体" w:cs="宋体"/>
              </w:rPr>
            </w:pPr>
            <w:r>
              <w:rPr>
                <w:rFonts w:hint="eastAsia" w:ascii="宋体" w:hAnsi="宋体" w:eastAsia="宋体" w:cs="宋体"/>
                <w:spacing w:val="-6"/>
              </w:rPr>
              <w:t>建筑石料</w:t>
            </w:r>
          </w:p>
        </w:tc>
        <w:tc>
          <w:tcPr>
            <w:tcW w:w="1648" w:type="dxa"/>
            <w:vAlign w:val="center"/>
          </w:tcPr>
          <w:p w14:paraId="7FC8FEBD">
            <w:pPr>
              <w:spacing w:before="144" w:line="226" w:lineRule="auto"/>
              <w:jc w:val="center"/>
              <w:rPr>
                <w:rFonts w:hint="eastAsia" w:ascii="宋体" w:hAnsi="宋体" w:eastAsia="宋体" w:cs="宋体"/>
              </w:rPr>
            </w:pPr>
            <w:r>
              <w:rPr>
                <w:rFonts w:hint="eastAsia" w:ascii="宋体" w:hAnsi="宋体" w:eastAsia="宋体" w:cs="宋体"/>
                <w:spacing w:val="-7"/>
              </w:rPr>
              <w:t>万m</w:t>
            </w:r>
            <w:r>
              <w:rPr>
                <w:rFonts w:hint="eastAsia" w:ascii="宋体" w:hAnsi="宋体" w:eastAsia="宋体" w:cs="宋体"/>
                <w:spacing w:val="-7"/>
                <w:vertAlign w:val="superscript"/>
              </w:rPr>
              <w:t>3</w:t>
            </w:r>
          </w:p>
        </w:tc>
        <w:tc>
          <w:tcPr>
            <w:tcW w:w="1178" w:type="dxa"/>
            <w:vAlign w:val="center"/>
          </w:tcPr>
          <w:p w14:paraId="5CE18D79">
            <w:pPr>
              <w:spacing w:before="151" w:line="222" w:lineRule="auto"/>
              <w:jc w:val="center"/>
              <w:rPr>
                <w:rFonts w:hint="eastAsia" w:ascii="宋体" w:hAnsi="宋体" w:eastAsia="宋体" w:cs="宋体"/>
                <w:spacing w:val="-24"/>
              </w:rPr>
            </w:pPr>
            <w:r>
              <w:rPr>
                <w:rFonts w:hint="eastAsia" w:ascii="宋体" w:hAnsi="宋体" w:eastAsia="宋体" w:cs="宋体"/>
                <w:b/>
                <w:bCs/>
                <w:spacing w:val="-24"/>
              </w:rPr>
              <w:t>≥30</w:t>
            </w:r>
          </w:p>
        </w:tc>
        <w:tc>
          <w:tcPr>
            <w:tcW w:w="1215" w:type="dxa"/>
            <w:vAlign w:val="center"/>
          </w:tcPr>
          <w:p w14:paraId="53FD3BB0">
            <w:pPr>
              <w:spacing w:before="176" w:line="188" w:lineRule="auto"/>
              <w:jc w:val="center"/>
              <w:rPr>
                <w:rFonts w:hint="eastAsia" w:ascii="宋体" w:hAnsi="宋体" w:eastAsia="宋体" w:cs="宋体"/>
              </w:rPr>
            </w:pPr>
            <w:r>
              <w:rPr>
                <w:rFonts w:hint="eastAsia" w:ascii="宋体" w:hAnsi="宋体" w:eastAsia="宋体" w:cs="宋体"/>
                <w:b w:val="0"/>
                <w:bCs w:val="0"/>
                <w:spacing w:val="-3"/>
              </w:rPr>
              <w:t>30-5</w:t>
            </w:r>
          </w:p>
        </w:tc>
        <w:tc>
          <w:tcPr>
            <w:tcW w:w="1410" w:type="dxa"/>
            <w:vAlign w:val="center"/>
          </w:tcPr>
          <w:p w14:paraId="34E7BBE2">
            <w:pPr>
              <w:spacing w:before="159"/>
              <w:jc w:val="center"/>
              <w:rPr>
                <w:rFonts w:hint="eastAsia" w:ascii="宋体" w:hAnsi="宋体" w:eastAsia="宋体" w:cs="宋体"/>
              </w:rPr>
            </w:pPr>
            <w:r>
              <w:rPr>
                <w:rFonts w:hint="eastAsia" w:ascii="宋体" w:hAnsi="宋体" w:eastAsia="宋体" w:cs="宋体"/>
                <w:spacing w:val="22"/>
              </w:rPr>
              <w:t>&lt;5</w:t>
            </w:r>
          </w:p>
        </w:tc>
        <w:tc>
          <w:tcPr>
            <w:tcW w:w="1412" w:type="dxa"/>
            <w:vAlign w:val="center"/>
          </w:tcPr>
          <w:p w14:paraId="391FAAFD">
            <w:pPr>
              <w:spacing w:before="142" w:line="222" w:lineRule="auto"/>
              <w:jc w:val="center"/>
              <w:rPr>
                <w:rFonts w:hint="eastAsia" w:ascii="宋体" w:hAnsi="宋体" w:eastAsia="宋体" w:cs="宋体"/>
              </w:rPr>
            </w:pPr>
            <w:r>
              <w:rPr>
                <w:rFonts w:hint="eastAsia" w:ascii="宋体" w:hAnsi="宋体" w:eastAsia="宋体" w:cs="宋体"/>
                <w:spacing w:val="-7"/>
              </w:rPr>
              <w:t>本矿</w:t>
            </w:r>
            <w:r>
              <w:rPr>
                <w:rFonts w:hint="eastAsia" w:ascii="宋体" w:hAnsi="宋体" w:eastAsia="宋体" w:cs="宋体"/>
                <w:spacing w:val="-7"/>
                <w:lang w:eastAsia="zh-CN"/>
              </w:rPr>
              <w:t>为大</w:t>
            </w:r>
            <w:r>
              <w:rPr>
                <w:rFonts w:hint="eastAsia" w:ascii="宋体" w:hAnsi="宋体" w:eastAsia="宋体" w:cs="宋体"/>
                <w:spacing w:val="-7"/>
              </w:rPr>
              <w:t>型</w:t>
            </w:r>
          </w:p>
        </w:tc>
      </w:tr>
    </w:tbl>
    <w:p w14:paraId="1397E332">
      <w:pPr>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r>
        <w:rPr>
          <w:rFonts w:hint="eastAsia" w:ascii="宋体" w:hAnsi="宋体" w:eastAsia="宋体" w:cs="宋体"/>
          <w:spacing w:val="-1"/>
          <w:sz w:val="28"/>
          <w:szCs w:val="28"/>
          <w:lang w:eastAsia="zh-CN"/>
        </w:rPr>
        <w:t>③</w:t>
      </w:r>
      <w:r>
        <w:rPr>
          <w:rFonts w:ascii="宋体" w:hAnsi="宋体" w:eastAsia="宋体" w:cs="宋体"/>
          <w:spacing w:val="-1"/>
          <w:sz w:val="28"/>
          <w:szCs w:val="28"/>
          <w:lang w:eastAsia="zh-CN"/>
        </w:rPr>
        <w:t>矿山地质环境复杂程度</w:t>
      </w:r>
    </w:p>
    <w:p w14:paraId="44F3B142">
      <w:pPr>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r>
        <w:rPr>
          <w:rFonts w:ascii="宋体" w:hAnsi="宋体" w:eastAsia="宋体" w:cs="宋体"/>
          <w:spacing w:val="-1"/>
          <w:sz w:val="28"/>
          <w:szCs w:val="28"/>
          <w:lang w:eastAsia="zh-CN"/>
        </w:rPr>
        <w:t>根据《矿山地质环境保护与恢复治理方案编制规范》（DZ/T0223-2011）中的附录C：“露天开采矿山地质环境条件复杂程度分级表”，判定矿山地质环境条件复杂程度为中等类型（表3-4）。</w:t>
      </w:r>
    </w:p>
    <w:p w14:paraId="53E3FE60">
      <w:pPr>
        <w:jc w:val="center"/>
        <w:rPr>
          <w:rFonts w:hint="eastAsia" w:ascii="宋体" w:hAnsi="宋体" w:eastAsia="宋体" w:cs="宋体"/>
          <w:b/>
          <w:bCs/>
          <w:szCs w:val="24"/>
          <w:lang w:eastAsia="zh-CN"/>
        </w:rPr>
      </w:pPr>
      <w:r>
        <w:rPr>
          <w:rFonts w:hint="eastAsia" w:ascii="宋体" w:hAnsi="宋体" w:eastAsia="宋体" w:cs="宋体"/>
          <w:b/>
          <w:bCs/>
          <w:szCs w:val="24"/>
          <w:lang w:eastAsia="zh-CN"/>
        </w:rPr>
        <w:t>表3-4  露天开采矿山地质环境条件复杂程度分级表</w:t>
      </w:r>
    </w:p>
    <w:tbl>
      <w:tblPr>
        <w:tblStyle w:val="22"/>
        <w:tblW w:w="852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27"/>
        <w:gridCol w:w="3042"/>
        <w:gridCol w:w="2756"/>
      </w:tblGrid>
      <w:tr w14:paraId="6C3272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4" w:hRule="atLeast"/>
        </w:trPr>
        <w:tc>
          <w:tcPr>
            <w:tcW w:w="2727" w:type="dxa"/>
          </w:tcPr>
          <w:p w14:paraId="6CA29B10">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b/>
                <w:bCs/>
                <w:spacing w:val="-5"/>
                <w:sz w:val="21"/>
                <w:szCs w:val="21"/>
              </w:rPr>
              <w:t>复杂</w:t>
            </w:r>
          </w:p>
        </w:tc>
        <w:tc>
          <w:tcPr>
            <w:tcW w:w="3042" w:type="dxa"/>
          </w:tcPr>
          <w:p w14:paraId="3523AE1F">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b/>
                <w:bCs/>
                <w:spacing w:val="-12"/>
                <w:sz w:val="21"/>
                <w:szCs w:val="21"/>
              </w:rPr>
              <w:t>中等</w:t>
            </w:r>
          </w:p>
        </w:tc>
        <w:tc>
          <w:tcPr>
            <w:tcW w:w="2756" w:type="dxa"/>
          </w:tcPr>
          <w:p w14:paraId="34DBB819">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b/>
                <w:bCs/>
                <w:spacing w:val="-4"/>
                <w:sz w:val="21"/>
                <w:szCs w:val="21"/>
              </w:rPr>
              <w:t>简单</w:t>
            </w:r>
          </w:p>
        </w:tc>
      </w:tr>
      <w:tr w14:paraId="15AE94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34" w:hRule="atLeast"/>
        </w:trPr>
        <w:tc>
          <w:tcPr>
            <w:tcW w:w="2727" w:type="dxa"/>
          </w:tcPr>
          <w:p w14:paraId="66707BEA">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采场矿层（体）位于地下水位以下，采场汇水面积大，采场进水边界条件复杂，与区域含水层或地表水联系密切，地下水补给、径流条件好，采场正常涌水量大于10000m3/d；采矿活动和疏干排水容易导致区域主要含水层破坏</w:t>
            </w:r>
          </w:p>
        </w:tc>
        <w:tc>
          <w:tcPr>
            <w:tcW w:w="3042" w:type="dxa"/>
          </w:tcPr>
          <w:p w14:paraId="044E9D4C">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采场矿层（体）局部位于地下水位以下，采场汇水面积较大，与区域含水层或地表水联系较密切，采场正常涌水量3000</w:t>
            </w:r>
            <w:r>
              <w:rPr>
                <w:rFonts w:hint="eastAsia"/>
                <w:spacing w:val="-4"/>
                <w:sz w:val="21"/>
                <w:szCs w:val="21"/>
                <w:lang w:eastAsia="zh-CN"/>
              </w:rPr>
              <w:t>～</w:t>
            </w:r>
            <w:r>
              <w:rPr>
                <w:spacing w:val="-4"/>
                <w:sz w:val="21"/>
                <w:szCs w:val="21"/>
                <w:lang w:eastAsia="zh-CN"/>
              </w:rPr>
              <w:t>10000m</w:t>
            </w:r>
            <w:r>
              <w:rPr>
                <w:spacing w:val="-4"/>
                <w:sz w:val="21"/>
                <w:szCs w:val="21"/>
                <w:vertAlign w:val="superscript"/>
                <w:lang w:eastAsia="zh-CN"/>
              </w:rPr>
              <w:t>3</w:t>
            </w:r>
            <w:r>
              <w:rPr>
                <w:spacing w:val="-4"/>
                <w:sz w:val="21"/>
                <w:szCs w:val="21"/>
                <w:lang w:eastAsia="zh-CN"/>
              </w:rPr>
              <w:t>/d；采矿和疏干排水比较容易导致矿区周围主要含水层影响或破坏</w:t>
            </w:r>
          </w:p>
        </w:tc>
        <w:tc>
          <w:tcPr>
            <w:tcW w:w="2756" w:type="dxa"/>
          </w:tcPr>
          <w:p w14:paraId="56F5258E">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采场矿层（体）位于地下水位以上，采场汇水面积小，与区域含水层、或地表水联系不密切，采场正常涌水量小于3000m</w:t>
            </w:r>
            <w:r>
              <w:rPr>
                <w:spacing w:val="-4"/>
                <w:sz w:val="21"/>
                <w:szCs w:val="21"/>
                <w:vertAlign w:val="superscript"/>
                <w:lang w:eastAsia="zh-CN"/>
              </w:rPr>
              <w:t>3</w:t>
            </w:r>
            <w:r>
              <w:rPr>
                <w:spacing w:val="-4"/>
                <w:sz w:val="21"/>
                <w:szCs w:val="21"/>
                <w:lang w:eastAsia="zh-CN"/>
              </w:rPr>
              <w:t>/d；采矿和疏干排水不易导致矿区周围主要含水层的影响或破坏(√)</w:t>
            </w:r>
          </w:p>
        </w:tc>
      </w:tr>
      <w:tr w14:paraId="6BF7E5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1" w:hRule="atLeast"/>
        </w:trPr>
        <w:tc>
          <w:tcPr>
            <w:tcW w:w="2727" w:type="dxa"/>
          </w:tcPr>
          <w:p w14:paraId="65792E2A">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矿床围岩岩体结构以碎裂结构、散体结构为主，软弱结构面、不良工程地质层发育，存在饱水软弱岩层或松散软弱岩层,含水砂层多，分布广，残坡积层、基岩风化破碎带厚度大于10m、稳固性差,采场岩石边坡风化破碎或土层松软，边坡外倾软弱结构面或危岩发育，易导致边坡失稳</w:t>
            </w:r>
          </w:p>
        </w:tc>
        <w:tc>
          <w:tcPr>
            <w:tcW w:w="3042" w:type="dxa"/>
          </w:tcPr>
          <w:p w14:paraId="74ECEAD4">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矿床围岩岩体结构以薄到厚层状结构为主，软弱结构面、不良工程地质层发育中等,存在饱水软弱岩层和含水砂层，残坡积层、基岩风化破碎带厚度5～10m、稳固性较差,采场边坡岩石风化较破碎，边坡存在外倾软弱结构面或危岩，局部可能产生边坡失稳</w:t>
            </w:r>
          </w:p>
        </w:tc>
        <w:tc>
          <w:tcPr>
            <w:tcW w:w="2756" w:type="dxa"/>
          </w:tcPr>
          <w:p w14:paraId="3FF9C499">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矿床围岩岩体结构以巨厚层状-块状整体结构为主，软弱结构面、不良工程地质层不发育，残坡积层、基岩风化破碎带厚度小于5m、稳固性较好，采场边坡岩石较完整到完整，土层薄，边坡基本不存在外倾软弱结构面或危岩，边坡较稳定(√)</w:t>
            </w:r>
          </w:p>
        </w:tc>
      </w:tr>
      <w:tr w14:paraId="1C8831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9" w:hRule="atLeast"/>
        </w:trPr>
        <w:tc>
          <w:tcPr>
            <w:tcW w:w="2727" w:type="dxa"/>
          </w:tcPr>
          <w:p w14:paraId="202DD5AC">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地质构造复杂。矿床围岩岩层产状变化大，断裂构造发育或有全新世活动断裂，导水断裂切割矿层（体）围岩、覆岩和主要含水层（带）或沟通地表水体，导水性强，对采场充水影响大</w:t>
            </w:r>
          </w:p>
        </w:tc>
        <w:tc>
          <w:tcPr>
            <w:tcW w:w="3042" w:type="dxa"/>
          </w:tcPr>
          <w:p w14:paraId="196AE8C0">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地质构造较复杂。矿床围岩岩层产状变化较大，断裂构造较发育，切割矿层（体）围岩、覆岩和含水层（带），导水性差，对采场充水影响较大</w:t>
            </w:r>
          </w:p>
        </w:tc>
        <w:tc>
          <w:tcPr>
            <w:tcW w:w="2756" w:type="dxa"/>
          </w:tcPr>
          <w:p w14:paraId="356FC93E">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地质构造较简单。矿床围岩岩层产状变化小，断裂构造较不发育，断裂未切割矿层（体）围岩、覆岩，对采场充水影响小(√)</w:t>
            </w:r>
          </w:p>
        </w:tc>
      </w:tr>
      <w:tr w14:paraId="39E266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8" w:hRule="atLeast"/>
        </w:trPr>
        <w:tc>
          <w:tcPr>
            <w:tcW w:w="2727" w:type="dxa"/>
          </w:tcPr>
          <w:p w14:paraId="2FEF57B7">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现状条件下原生地质灾害发育，或矿山地质环境问题的类型多、危害大</w:t>
            </w:r>
          </w:p>
        </w:tc>
        <w:tc>
          <w:tcPr>
            <w:tcW w:w="3042" w:type="dxa"/>
          </w:tcPr>
          <w:p w14:paraId="0C04D76F">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现状条件下，矿山地质环境问题的类型较多、危害较大</w:t>
            </w:r>
          </w:p>
        </w:tc>
        <w:tc>
          <w:tcPr>
            <w:tcW w:w="2756" w:type="dxa"/>
          </w:tcPr>
          <w:p w14:paraId="30C96988">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现状条件下，矿山地质环境问题的类型少、危害小(√)</w:t>
            </w:r>
          </w:p>
        </w:tc>
      </w:tr>
      <w:tr w14:paraId="404695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5" w:hRule="atLeast"/>
        </w:trPr>
        <w:tc>
          <w:tcPr>
            <w:tcW w:w="2727" w:type="dxa"/>
          </w:tcPr>
          <w:p w14:paraId="3D8A5770">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采场面积及采坑深度大，边坡不稳定，易产生地质灾害</w:t>
            </w:r>
          </w:p>
        </w:tc>
        <w:tc>
          <w:tcPr>
            <w:tcW w:w="3042" w:type="dxa"/>
          </w:tcPr>
          <w:p w14:paraId="7F4933EF">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采场面积及采坑深度较大，边坡较不稳定，较易产生地质灾害(√)</w:t>
            </w:r>
          </w:p>
        </w:tc>
        <w:tc>
          <w:tcPr>
            <w:tcW w:w="2756" w:type="dxa"/>
          </w:tcPr>
          <w:p w14:paraId="365A4645">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采场面积及采坑深度小，边坡较稳定，不易产生地质灾害</w:t>
            </w:r>
          </w:p>
        </w:tc>
      </w:tr>
      <w:tr w14:paraId="29FF35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7" w:hRule="atLeast"/>
        </w:trPr>
        <w:tc>
          <w:tcPr>
            <w:tcW w:w="2727" w:type="dxa"/>
          </w:tcPr>
          <w:p w14:paraId="6ECF8D06">
            <w:pPr>
              <w:pStyle w:val="23"/>
              <w:widowControl w:val="0"/>
              <w:kinsoku/>
              <w:adjustRightInd/>
              <w:snapToGrid/>
              <w:ind w:firstLine="404" w:firstLineChars="200"/>
              <w:jc w:val="both"/>
              <w:rPr>
                <w:rFonts w:hint="eastAsia"/>
                <w:spacing w:val="-4"/>
                <w:sz w:val="21"/>
                <w:szCs w:val="21"/>
                <w:lang w:eastAsia="zh-CN"/>
              </w:rPr>
            </w:pPr>
            <w:bookmarkStart w:id="89" w:name="bookmark255"/>
            <w:bookmarkEnd w:id="89"/>
            <w:r>
              <w:rPr>
                <w:spacing w:val="-4"/>
                <w:sz w:val="21"/>
                <w:szCs w:val="21"/>
                <w:lang w:eastAsia="zh-CN"/>
              </w:rPr>
              <w:t>地貌单元类型多，微地貌形态复杂，地形起伏变化大，不利于自然排水，地形坡度一般大于35°,相对高差大，高坡方向岩层倾向与采坑斜坡多为同向</w:t>
            </w:r>
          </w:p>
        </w:tc>
        <w:tc>
          <w:tcPr>
            <w:tcW w:w="3042" w:type="dxa"/>
          </w:tcPr>
          <w:p w14:paraId="2B61FF77">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地貌单元类型较多，微地貌形态较复杂，地形起伏变化中等，自然排水条件一般,地形坡度一般20°</w:t>
            </w:r>
            <w:r>
              <w:rPr>
                <w:rFonts w:hint="eastAsia"/>
                <w:spacing w:val="-4"/>
                <w:sz w:val="21"/>
                <w:szCs w:val="21"/>
                <w:lang w:eastAsia="zh-CN"/>
              </w:rPr>
              <w:t>～</w:t>
            </w:r>
            <w:r>
              <w:rPr>
                <w:spacing w:val="-4"/>
                <w:sz w:val="21"/>
                <w:szCs w:val="21"/>
                <w:lang w:eastAsia="zh-CN"/>
              </w:rPr>
              <w:t>35°,相对高差较大，高坡方向岩层倾向与采坑斜坡多为斜交。</w:t>
            </w:r>
          </w:p>
        </w:tc>
        <w:tc>
          <w:tcPr>
            <w:tcW w:w="2756" w:type="dxa"/>
          </w:tcPr>
          <w:p w14:paraId="69923B70">
            <w:pPr>
              <w:pStyle w:val="23"/>
              <w:widowControl w:val="0"/>
              <w:kinsoku/>
              <w:adjustRightInd/>
              <w:snapToGrid/>
              <w:ind w:firstLine="404" w:firstLineChars="200"/>
              <w:jc w:val="both"/>
              <w:rPr>
                <w:rFonts w:hint="eastAsia"/>
                <w:spacing w:val="-4"/>
                <w:sz w:val="21"/>
                <w:szCs w:val="21"/>
                <w:lang w:eastAsia="zh-CN"/>
              </w:rPr>
            </w:pPr>
            <w:r>
              <w:rPr>
                <w:spacing w:val="-4"/>
                <w:sz w:val="21"/>
                <w:szCs w:val="21"/>
                <w:lang w:eastAsia="zh-CN"/>
              </w:rPr>
              <w:t>地貌单元类型单一，微地貌形态简单，地形较平缓，有利于自然排水，地形坡度一般小于20°,相对高差较小，高坡方向岩层倾向与采坑斜坡多为反向坡(√)</w:t>
            </w:r>
          </w:p>
        </w:tc>
      </w:tr>
    </w:tbl>
    <w:p w14:paraId="3EAB5C07">
      <w:pPr>
        <w:spacing w:before="35" w:line="222" w:lineRule="auto"/>
        <w:rPr>
          <w:rFonts w:hint="eastAsia" w:ascii="黑体" w:hAnsi="黑体" w:eastAsia="黑体" w:cs="黑体"/>
          <w:sz w:val="21"/>
          <w:szCs w:val="21"/>
          <w:lang w:eastAsia="zh-CN"/>
        </w:rPr>
      </w:pPr>
      <w:r>
        <w:rPr>
          <w:rFonts w:hint="eastAsia" w:ascii="黑体" w:hAnsi="黑体" w:eastAsia="黑体" w:cs="黑体"/>
          <w:spacing w:val="-2"/>
          <w:sz w:val="21"/>
          <w:szCs w:val="21"/>
          <w:lang w:eastAsia="zh-CN"/>
        </w:rPr>
        <w:t>注：采取就上原则，只要有一条满足某一级别，应定为该级别。</w:t>
      </w:r>
    </w:p>
    <w:p w14:paraId="4EF648B7">
      <w:pPr>
        <w:widowControl w:val="0"/>
        <w:kinsoku/>
        <w:adjustRightInd/>
        <w:snapToGrid/>
        <w:spacing w:line="360" w:lineRule="auto"/>
        <w:ind w:firstLine="556" w:firstLineChars="200"/>
        <w:jc w:val="both"/>
        <w:rPr>
          <w:rFonts w:hint="eastAsia" w:ascii="宋体" w:hAnsi="宋体" w:eastAsia="宋体" w:cs="宋体"/>
          <w:sz w:val="28"/>
          <w:szCs w:val="28"/>
          <w:lang w:eastAsia="zh-CN"/>
        </w:rPr>
      </w:pPr>
      <w:r>
        <w:rPr>
          <w:rFonts w:ascii="宋体" w:hAnsi="宋体" w:eastAsia="宋体" w:cs="宋体"/>
          <w:spacing w:val="-1"/>
          <w:sz w:val="28"/>
          <w:szCs w:val="28"/>
          <w:lang w:eastAsia="zh-CN"/>
        </w:rPr>
        <w:t>综上所述，评估区重要程度属</w:t>
      </w:r>
      <w:r>
        <w:rPr>
          <w:rFonts w:hint="eastAsia" w:ascii="宋体" w:hAnsi="宋体" w:eastAsia="宋体" w:cs="宋体"/>
          <w:spacing w:val="-1"/>
          <w:sz w:val="28"/>
          <w:szCs w:val="28"/>
          <w:lang w:eastAsia="zh-CN"/>
        </w:rPr>
        <w:t>一般</w:t>
      </w:r>
      <w:r>
        <w:rPr>
          <w:rFonts w:ascii="宋体" w:hAnsi="宋体" w:eastAsia="宋体" w:cs="宋体"/>
          <w:spacing w:val="-1"/>
          <w:sz w:val="28"/>
          <w:szCs w:val="28"/>
          <w:lang w:eastAsia="zh-CN"/>
        </w:rPr>
        <w:t>区，矿山生产规模属</w:t>
      </w:r>
      <w:r>
        <w:rPr>
          <w:rFonts w:hint="eastAsia" w:ascii="宋体" w:hAnsi="宋体" w:eastAsia="宋体" w:cs="宋体"/>
          <w:spacing w:val="-1"/>
          <w:sz w:val="28"/>
          <w:szCs w:val="28"/>
          <w:lang w:eastAsia="zh-CN"/>
        </w:rPr>
        <w:t>大</w:t>
      </w:r>
      <w:r>
        <w:rPr>
          <w:rFonts w:ascii="宋体" w:hAnsi="宋体" w:eastAsia="宋体" w:cs="宋体"/>
          <w:spacing w:val="-1"/>
          <w:sz w:val="28"/>
          <w:szCs w:val="28"/>
          <w:lang w:eastAsia="zh-CN"/>
        </w:rPr>
        <w:t>型，矿山地质</w:t>
      </w:r>
      <w:r>
        <w:rPr>
          <w:rFonts w:ascii="宋体" w:hAnsi="宋体" w:eastAsia="宋体" w:cs="宋体"/>
          <w:sz w:val="28"/>
          <w:szCs w:val="28"/>
          <w:lang w:eastAsia="zh-CN"/>
        </w:rPr>
        <w:t>环境条件复杂程度属中等类型，按“矿山环境影响评</w:t>
      </w:r>
      <w:r>
        <w:rPr>
          <w:rFonts w:ascii="宋体" w:hAnsi="宋体" w:eastAsia="宋体" w:cs="宋体"/>
          <w:spacing w:val="-1"/>
          <w:sz w:val="28"/>
          <w:szCs w:val="28"/>
          <w:lang w:eastAsia="zh-CN"/>
        </w:rPr>
        <w:t>估精度分级表”（表3-5</w:t>
      </w:r>
      <w:r>
        <w:rPr>
          <w:rFonts w:ascii="宋体" w:hAnsi="宋体" w:eastAsia="宋体" w:cs="宋体"/>
          <w:spacing w:val="4"/>
          <w:sz w:val="28"/>
          <w:szCs w:val="28"/>
          <w:lang w:eastAsia="zh-CN"/>
        </w:rPr>
        <w:t>），</w:t>
      </w:r>
      <w:r>
        <w:rPr>
          <w:rFonts w:ascii="宋体" w:hAnsi="宋体" w:eastAsia="宋体" w:cs="宋体"/>
          <w:spacing w:val="-1"/>
          <w:sz w:val="28"/>
          <w:szCs w:val="28"/>
          <w:lang w:eastAsia="zh-CN"/>
        </w:rPr>
        <w:t>矿山地质环境影响评估级别确定为</w:t>
      </w:r>
      <w:r>
        <w:rPr>
          <w:rFonts w:hint="eastAsia" w:ascii="宋体" w:hAnsi="宋体" w:eastAsia="宋体" w:cs="宋体"/>
          <w:spacing w:val="-1"/>
          <w:sz w:val="28"/>
          <w:szCs w:val="28"/>
          <w:lang w:eastAsia="zh-CN"/>
        </w:rPr>
        <w:t>二</w:t>
      </w:r>
      <w:r>
        <w:rPr>
          <w:rFonts w:ascii="宋体" w:hAnsi="宋体" w:eastAsia="宋体" w:cs="宋体"/>
          <w:spacing w:val="-1"/>
          <w:sz w:val="28"/>
          <w:szCs w:val="28"/>
          <w:lang w:eastAsia="zh-CN"/>
        </w:rPr>
        <w:t>级评估。</w:t>
      </w:r>
    </w:p>
    <w:p w14:paraId="59507BF5">
      <w:pPr>
        <w:jc w:val="center"/>
        <w:rPr>
          <w:rFonts w:hint="eastAsia" w:ascii="宋体" w:hAnsi="宋体" w:eastAsia="宋体" w:cs="宋体"/>
          <w:b/>
          <w:bCs/>
          <w:szCs w:val="24"/>
          <w:lang w:eastAsia="zh-CN"/>
        </w:rPr>
      </w:pPr>
      <w:r>
        <w:rPr>
          <w:rFonts w:hint="eastAsia" w:ascii="宋体" w:hAnsi="宋体" w:eastAsia="宋体" w:cs="宋体"/>
          <w:b/>
          <w:bCs/>
          <w:szCs w:val="24"/>
          <w:lang w:eastAsia="zh-CN"/>
        </w:rPr>
        <w:t>表3-5  矿山环境影响评估分级表</w:t>
      </w:r>
    </w:p>
    <w:tbl>
      <w:tblPr>
        <w:tblStyle w:val="22"/>
        <w:tblW w:w="83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51"/>
        <w:gridCol w:w="1825"/>
        <w:gridCol w:w="1462"/>
        <w:gridCol w:w="1590"/>
        <w:gridCol w:w="1393"/>
      </w:tblGrid>
      <w:tr w14:paraId="40FD5A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051" w:type="dxa"/>
            <w:vMerge w:val="restart"/>
            <w:tcBorders>
              <w:bottom w:val="nil"/>
            </w:tcBorders>
          </w:tcPr>
          <w:p w14:paraId="7FB039EC">
            <w:pPr>
              <w:spacing w:before="260" w:line="220" w:lineRule="auto"/>
              <w:ind w:left="139"/>
              <w:rPr>
                <w:rFonts w:hint="eastAsia" w:ascii="宋体" w:hAnsi="宋体" w:eastAsia="宋体" w:cs="宋体"/>
              </w:rPr>
            </w:pPr>
            <w:r>
              <w:rPr>
                <w:rFonts w:hint="eastAsia" w:ascii="宋体" w:hAnsi="宋体" w:eastAsia="宋体" w:cs="宋体"/>
                <w:spacing w:val="-5"/>
              </w:rPr>
              <w:t>评估区重要程度</w:t>
            </w:r>
          </w:p>
        </w:tc>
        <w:tc>
          <w:tcPr>
            <w:tcW w:w="1825" w:type="dxa"/>
            <w:vMerge w:val="restart"/>
            <w:tcBorders>
              <w:bottom w:val="nil"/>
            </w:tcBorders>
          </w:tcPr>
          <w:p w14:paraId="26AAFD5C">
            <w:pPr>
              <w:spacing w:before="262" w:line="223" w:lineRule="auto"/>
              <w:ind w:left="218"/>
              <w:rPr>
                <w:rFonts w:hint="eastAsia" w:ascii="宋体" w:hAnsi="宋体" w:eastAsia="宋体" w:cs="宋体"/>
              </w:rPr>
            </w:pPr>
            <w:r>
              <w:rPr>
                <w:rFonts w:hint="eastAsia" w:ascii="宋体" w:hAnsi="宋体" w:eastAsia="宋体" w:cs="宋体"/>
                <w:spacing w:val="-5"/>
              </w:rPr>
              <w:t>矿山建设规模</w:t>
            </w:r>
          </w:p>
        </w:tc>
        <w:tc>
          <w:tcPr>
            <w:tcW w:w="4445" w:type="dxa"/>
            <w:gridSpan w:val="3"/>
          </w:tcPr>
          <w:p w14:paraId="08C6782F">
            <w:pPr>
              <w:spacing w:before="91" w:line="201" w:lineRule="auto"/>
              <w:ind w:left="1152"/>
              <w:rPr>
                <w:rFonts w:hint="eastAsia" w:ascii="宋体" w:hAnsi="宋体" w:eastAsia="宋体" w:cs="宋体"/>
                <w:lang w:eastAsia="zh-CN"/>
              </w:rPr>
            </w:pPr>
            <w:r>
              <w:rPr>
                <w:rFonts w:hint="eastAsia" w:ascii="宋体" w:hAnsi="宋体" w:eastAsia="宋体" w:cs="宋体"/>
                <w:spacing w:val="-4"/>
                <w:lang w:eastAsia="zh-CN"/>
              </w:rPr>
              <w:t>地质环境条件复杂程度</w:t>
            </w:r>
          </w:p>
        </w:tc>
      </w:tr>
      <w:tr w14:paraId="0DDFBE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051" w:type="dxa"/>
            <w:vMerge w:val="continue"/>
            <w:tcBorders>
              <w:top w:val="nil"/>
            </w:tcBorders>
          </w:tcPr>
          <w:p w14:paraId="528C49C8">
            <w:pPr>
              <w:rPr>
                <w:rFonts w:hint="eastAsia" w:ascii="宋体" w:hAnsi="宋体" w:eastAsia="宋体" w:cs="宋体"/>
                <w:lang w:eastAsia="zh-CN"/>
              </w:rPr>
            </w:pPr>
          </w:p>
        </w:tc>
        <w:tc>
          <w:tcPr>
            <w:tcW w:w="1825" w:type="dxa"/>
            <w:vMerge w:val="continue"/>
            <w:tcBorders>
              <w:top w:val="nil"/>
            </w:tcBorders>
          </w:tcPr>
          <w:p w14:paraId="6AF75A91">
            <w:pPr>
              <w:rPr>
                <w:rFonts w:hint="eastAsia" w:ascii="宋体" w:hAnsi="宋体" w:eastAsia="宋体" w:cs="宋体"/>
                <w:lang w:eastAsia="zh-CN"/>
              </w:rPr>
            </w:pPr>
          </w:p>
        </w:tc>
        <w:tc>
          <w:tcPr>
            <w:tcW w:w="1462" w:type="dxa"/>
          </w:tcPr>
          <w:p w14:paraId="2E5A4F82">
            <w:pPr>
              <w:spacing w:before="83" w:line="202" w:lineRule="auto"/>
              <w:ind w:left="543"/>
              <w:rPr>
                <w:rFonts w:hint="eastAsia" w:ascii="宋体" w:hAnsi="宋体" w:eastAsia="宋体" w:cs="宋体"/>
              </w:rPr>
            </w:pPr>
            <w:r>
              <w:rPr>
                <w:rFonts w:hint="eastAsia" w:ascii="宋体" w:hAnsi="宋体" w:eastAsia="宋体" w:cs="宋体"/>
                <w:spacing w:val="-14"/>
              </w:rPr>
              <w:t>复杂</w:t>
            </w:r>
          </w:p>
        </w:tc>
        <w:tc>
          <w:tcPr>
            <w:tcW w:w="1590" w:type="dxa"/>
          </w:tcPr>
          <w:p w14:paraId="59A8F82E">
            <w:pPr>
              <w:spacing w:before="83" w:line="202" w:lineRule="auto"/>
              <w:ind w:left="649"/>
              <w:rPr>
                <w:rFonts w:hint="eastAsia" w:ascii="宋体" w:hAnsi="宋体" w:eastAsia="宋体" w:cs="宋体"/>
              </w:rPr>
            </w:pPr>
            <w:r>
              <w:rPr>
                <w:rFonts w:hint="eastAsia" w:ascii="宋体" w:hAnsi="宋体" w:eastAsia="宋体" w:cs="宋体"/>
                <w:b/>
                <w:bCs/>
                <w:spacing w:val="-24"/>
              </w:rPr>
              <w:t>中等</w:t>
            </w:r>
          </w:p>
        </w:tc>
        <w:tc>
          <w:tcPr>
            <w:tcW w:w="1393" w:type="dxa"/>
          </w:tcPr>
          <w:p w14:paraId="4245E144">
            <w:pPr>
              <w:spacing w:before="83" w:line="202" w:lineRule="auto"/>
              <w:ind w:left="613"/>
              <w:rPr>
                <w:rFonts w:hint="eastAsia" w:ascii="宋体" w:hAnsi="宋体" w:eastAsia="宋体" w:cs="宋体"/>
              </w:rPr>
            </w:pPr>
            <w:r>
              <w:rPr>
                <w:rFonts w:hint="eastAsia" w:ascii="宋体" w:hAnsi="宋体" w:eastAsia="宋体" w:cs="宋体"/>
                <w:spacing w:val="-15"/>
              </w:rPr>
              <w:t>简单</w:t>
            </w:r>
          </w:p>
        </w:tc>
      </w:tr>
      <w:tr w14:paraId="557FA8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051" w:type="dxa"/>
            <w:vMerge w:val="restart"/>
            <w:tcBorders>
              <w:bottom w:val="nil"/>
            </w:tcBorders>
          </w:tcPr>
          <w:p w14:paraId="5B9840F2">
            <w:pPr>
              <w:spacing w:line="360" w:lineRule="auto"/>
              <w:rPr>
                <w:rFonts w:hint="eastAsia" w:ascii="宋体" w:hAnsi="宋体" w:eastAsia="宋体" w:cs="宋体"/>
              </w:rPr>
            </w:pPr>
          </w:p>
          <w:p w14:paraId="7B006159">
            <w:pPr>
              <w:spacing w:before="78" w:line="225" w:lineRule="auto"/>
              <w:ind w:left="707"/>
              <w:rPr>
                <w:rFonts w:hint="eastAsia" w:ascii="宋体" w:hAnsi="宋体" w:eastAsia="宋体" w:cs="宋体"/>
              </w:rPr>
            </w:pPr>
            <w:r>
              <w:rPr>
                <w:rFonts w:hint="eastAsia" w:ascii="宋体" w:hAnsi="宋体" w:eastAsia="宋体" w:cs="宋体"/>
                <w:spacing w:val="-11"/>
              </w:rPr>
              <w:t>重要区</w:t>
            </w:r>
          </w:p>
        </w:tc>
        <w:tc>
          <w:tcPr>
            <w:tcW w:w="1825" w:type="dxa"/>
          </w:tcPr>
          <w:p w14:paraId="58A38094">
            <w:pPr>
              <w:spacing w:before="85" w:line="200" w:lineRule="auto"/>
              <w:jc w:val="center"/>
              <w:rPr>
                <w:rFonts w:hint="eastAsia" w:ascii="宋体" w:hAnsi="宋体" w:eastAsia="宋体" w:cs="宋体"/>
              </w:rPr>
            </w:pPr>
            <w:r>
              <w:rPr>
                <w:rFonts w:hint="eastAsia" w:ascii="宋体" w:hAnsi="宋体" w:eastAsia="宋体" w:cs="宋体"/>
                <w:spacing w:val="-24"/>
              </w:rPr>
              <w:t>大型</w:t>
            </w:r>
          </w:p>
        </w:tc>
        <w:tc>
          <w:tcPr>
            <w:tcW w:w="1462" w:type="dxa"/>
          </w:tcPr>
          <w:p w14:paraId="13888150">
            <w:pPr>
              <w:spacing w:before="84" w:line="201" w:lineRule="auto"/>
              <w:ind w:left="528"/>
              <w:rPr>
                <w:rFonts w:hint="eastAsia" w:ascii="宋体" w:hAnsi="宋体" w:eastAsia="宋体" w:cs="宋体"/>
              </w:rPr>
            </w:pPr>
            <w:r>
              <w:rPr>
                <w:rFonts w:hint="eastAsia" w:ascii="宋体" w:hAnsi="宋体" w:eastAsia="宋体" w:cs="宋体"/>
                <w:spacing w:val="-10"/>
              </w:rPr>
              <w:t>一级</w:t>
            </w:r>
          </w:p>
        </w:tc>
        <w:tc>
          <w:tcPr>
            <w:tcW w:w="1590" w:type="dxa"/>
          </w:tcPr>
          <w:p w14:paraId="76D5A1D7">
            <w:pPr>
              <w:spacing w:before="85" w:line="200" w:lineRule="auto"/>
              <w:ind w:left="698"/>
              <w:rPr>
                <w:rFonts w:hint="eastAsia" w:ascii="宋体" w:hAnsi="宋体" w:eastAsia="宋体" w:cs="宋体"/>
              </w:rPr>
            </w:pPr>
            <w:r>
              <w:rPr>
                <w:rFonts w:hint="eastAsia" w:ascii="宋体" w:hAnsi="宋体" w:eastAsia="宋体" w:cs="宋体"/>
                <w:spacing w:val="-8"/>
              </w:rPr>
              <w:t>一级</w:t>
            </w:r>
          </w:p>
        </w:tc>
        <w:tc>
          <w:tcPr>
            <w:tcW w:w="1393" w:type="dxa"/>
          </w:tcPr>
          <w:p w14:paraId="7CAEB5C1">
            <w:pPr>
              <w:spacing w:before="84" w:line="201" w:lineRule="auto"/>
              <w:ind w:left="596"/>
              <w:rPr>
                <w:rFonts w:hint="eastAsia" w:ascii="宋体" w:hAnsi="宋体" w:eastAsia="宋体" w:cs="宋体"/>
              </w:rPr>
            </w:pPr>
            <w:r>
              <w:rPr>
                <w:rFonts w:hint="eastAsia" w:ascii="宋体" w:hAnsi="宋体" w:eastAsia="宋体" w:cs="宋体"/>
                <w:spacing w:val="-10"/>
              </w:rPr>
              <w:t>一级</w:t>
            </w:r>
          </w:p>
        </w:tc>
      </w:tr>
      <w:tr w14:paraId="52917E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051" w:type="dxa"/>
            <w:vMerge w:val="continue"/>
            <w:tcBorders>
              <w:top w:val="nil"/>
              <w:bottom w:val="nil"/>
            </w:tcBorders>
          </w:tcPr>
          <w:p w14:paraId="1D769631">
            <w:pPr>
              <w:rPr>
                <w:rFonts w:hint="eastAsia" w:ascii="宋体" w:hAnsi="宋体" w:eastAsia="宋体" w:cs="宋体"/>
              </w:rPr>
            </w:pPr>
          </w:p>
        </w:tc>
        <w:tc>
          <w:tcPr>
            <w:tcW w:w="1825" w:type="dxa"/>
          </w:tcPr>
          <w:p w14:paraId="696CA91E">
            <w:pPr>
              <w:spacing w:before="85" w:line="200" w:lineRule="auto"/>
              <w:jc w:val="center"/>
              <w:rPr>
                <w:rFonts w:hint="eastAsia" w:ascii="宋体" w:hAnsi="宋体" w:eastAsia="宋体" w:cs="宋体"/>
              </w:rPr>
            </w:pPr>
            <w:r>
              <w:rPr>
                <w:rFonts w:hint="eastAsia" w:ascii="宋体" w:hAnsi="宋体" w:eastAsia="宋体" w:cs="宋体"/>
                <w:spacing w:val="-24"/>
              </w:rPr>
              <w:t>中型</w:t>
            </w:r>
          </w:p>
        </w:tc>
        <w:tc>
          <w:tcPr>
            <w:tcW w:w="1462" w:type="dxa"/>
          </w:tcPr>
          <w:p w14:paraId="08A0E381">
            <w:pPr>
              <w:spacing w:before="85" w:line="200" w:lineRule="auto"/>
              <w:ind w:left="528"/>
              <w:rPr>
                <w:rFonts w:hint="eastAsia" w:ascii="宋体" w:hAnsi="宋体" w:eastAsia="宋体" w:cs="宋体"/>
              </w:rPr>
            </w:pPr>
            <w:r>
              <w:rPr>
                <w:rFonts w:hint="eastAsia" w:ascii="宋体" w:hAnsi="宋体" w:eastAsia="宋体" w:cs="宋体"/>
                <w:spacing w:val="-10"/>
              </w:rPr>
              <w:t>一级</w:t>
            </w:r>
          </w:p>
        </w:tc>
        <w:tc>
          <w:tcPr>
            <w:tcW w:w="1590" w:type="dxa"/>
          </w:tcPr>
          <w:p w14:paraId="1F448C27">
            <w:pPr>
              <w:spacing w:before="85" w:line="200" w:lineRule="auto"/>
              <w:ind w:left="593"/>
              <w:rPr>
                <w:rFonts w:hint="eastAsia" w:ascii="宋体" w:hAnsi="宋体" w:eastAsia="宋体" w:cs="宋体"/>
              </w:rPr>
            </w:pPr>
            <w:r>
              <w:rPr>
                <w:rFonts w:hint="eastAsia" w:ascii="宋体" w:hAnsi="宋体" w:eastAsia="宋体" w:cs="宋体"/>
                <w:spacing w:val="-10"/>
              </w:rPr>
              <w:t>一级</w:t>
            </w:r>
          </w:p>
        </w:tc>
        <w:tc>
          <w:tcPr>
            <w:tcW w:w="1393" w:type="dxa"/>
          </w:tcPr>
          <w:p w14:paraId="23C1882A">
            <w:pPr>
              <w:spacing w:before="85" w:line="200" w:lineRule="auto"/>
              <w:ind w:left="596"/>
              <w:rPr>
                <w:rFonts w:hint="eastAsia" w:ascii="宋体" w:hAnsi="宋体" w:eastAsia="宋体" w:cs="宋体"/>
              </w:rPr>
            </w:pPr>
            <w:r>
              <w:rPr>
                <w:rFonts w:hint="eastAsia" w:ascii="宋体" w:hAnsi="宋体" w:eastAsia="宋体" w:cs="宋体"/>
                <w:spacing w:val="-10"/>
              </w:rPr>
              <w:t>一级</w:t>
            </w:r>
          </w:p>
        </w:tc>
      </w:tr>
      <w:tr w14:paraId="77DCC1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051" w:type="dxa"/>
            <w:vMerge w:val="continue"/>
            <w:tcBorders>
              <w:top w:val="nil"/>
            </w:tcBorders>
          </w:tcPr>
          <w:p w14:paraId="32AE42F9">
            <w:pPr>
              <w:rPr>
                <w:rFonts w:hint="eastAsia" w:ascii="宋体" w:hAnsi="宋体" w:eastAsia="宋体" w:cs="宋体"/>
              </w:rPr>
            </w:pPr>
          </w:p>
        </w:tc>
        <w:tc>
          <w:tcPr>
            <w:tcW w:w="1825" w:type="dxa"/>
          </w:tcPr>
          <w:p w14:paraId="624C21D2">
            <w:pPr>
              <w:spacing w:before="85" w:line="200" w:lineRule="auto"/>
              <w:jc w:val="center"/>
              <w:rPr>
                <w:rFonts w:hint="eastAsia" w:ascii="宋体" w:hAnsi="宋体" w:eastAsia="宋体" w:cs="宋体"/>
              </w:rPr>
            </w:pPr>
            <w:r>
              <w:rPr>
                <w:rFonts w:hint="eastAsia" w:ascii="宋体" w:hAnsi="宋体" w:eastAsia="宋体" w:cs="宋体"/>
                <w:spacing w:val="-8"/>
              </w:rPr>
              <w:t>小型</w:t>
            </w:r>
          </w:p>
        </w:tc>
        <w:tc>
          <w:tcPr>
            <w:tcW w:w="1462" w:type="dxa"/>
          </w:tcPr>
          <w:p w14:paraId="1DBA6D8D">
            <w:pPr>
              <w:spacing w:before="85" w:line="200" w:lineRule="auto"/>
              <w:ind w:left="528"/>
              <w:rPr>
                <w:rFonts w:hint="eastAsia" w:ascii="宋体" w:hAnsi="宋体" w:eastAsia="宋体" w:cs="宋体"/>
              </w:rPr>
            </w:pPr>
            <w:r>
              <w:rPr>
                <w:rFonts w:hint="eastAsia" w:ascii="宋体" w:hAnsi="宋体" w:eastAsia="宋体" w:cs="宋体"/>
                <w:spacing w:val="-10"/>
              </w:rPr>
              <w:t>一级</w:t>
            </w:r>
          </w:p>
        </w:tc>
        <w:tc>
          <w:tcPr>
            <w:tcW w:w="1590" w:type="dxa"/>
          </w:tcPr>
          <w:p w14:paraId="14098228">
            <w:pPr>
              <w:spacing w:before="85" w:line="200" w:lineRule="auto"/>
              <w:ind w:left="593"/>
              <w:rPr>
                <w:rFonts w:hint="eastAsia" w:ascii="宋体" w:hAnsi="宋体" w:eastAsia="宋体" w:cs="宋体"/>
              </w:rPr>
            </w:pPr>
            <w:r>
              <w:rPr>
                <w:rFonts w:hint="eastAsia" w:ascii="宋体" w:hAnsi="宋体" w:eastAsia="宋体" w:cs="宋体"/>
                <w:spacing w:val="-10"/>
              </w:rPr>
              <w:t>一级</w:t>
            </w:r>
          </w:p>
        </w:tc>
        <w:tc>
          <w:tcPr>
            <w:tcW w:w="1393" w:type="dxa"/>
          </w:tcPr>
          <w:p w14:paraId="4BD2FA65">
            <w:pPr>
              <w:spacing w:before="85" w:line="200" w:lineRule="auto"/>
              <w:ind w:left="602"/>
              <w:rPr>
                <w:rFonts w:hint="eastAsia" w:ascii="宋体" w:hAnsi="宋体" w:eastAsia="宋体" w:cs="宋体"/>
              </w:rPr>
            </w:pPr>
            <w:r>
              <w:rPr>
                <w:rFonts w:hint="eastAsia" w:ascii="宋体" w:hAnsi="宋体" w:eastAsia="宋体" w:cs="宋体"/>
                <w:spacing w:val="-4"/>
              </w:rPr>
              <w:t>二级</w:t>
            </w:r>
          </w:p>
        </w:tc>
      </w:tr>
      <w:tr w14:paraId="743855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051" w:type="dxa"/>
            <w:vMerge w:val="restart"/>
            <w:tcBorders>
              <w:bottom w:val="nil"/>
            </w:tcBorders>
          </w:tcPr>
          <w:p w14:paraId="6AFABF73">
            <w:pPr>
              <w:spacing w:line="356" w:lineRule="auto"/>
              <w:rPr>
                <w:rFonts w:hint="eastAsia" w:ascii="宋体" w:hAnsi="宋体" w:eastAsia="宋体" w:cs="宋体"/>
              </w:rPr>
            </w:pPr>
          </w:p>
          <w:p w14:paraId="308F8EA6">
            <w:pPr>
              <w:spacing w:before="78" w:line="222" w:lineRule="auto"/>
              <w:ind w:left="573"/>
              <w:rPr>
                <w:rFonts w:hint="eastAsia" w:ascii="宋体" w:hAnsi="宋体" w:eastAsia="宋体" w:cs="宋体"/>
              </w:rPr>
            </w:pPr>
            <w:r>
              <w:rPr>
                <w:rFonts w:hint="eastAsia" w:ascii="宋体" w:hAnsi="宋体" w:eastAsia="宋体" w:cs="宋体"/>
                <w:spacing w:val="-7"/>
              </w:rPr>
              <w:t>较重要区</w:t>
            </w:r>
          </w:p>
        </w:tc>
        <w:tc>
          <w:tcPr>
            <w:tcW w:w="1825" w:type="dxa"/>
          </w:tcPr>
          <w:p w14:paraId="0E603120">
            <w:pPr>
              <w:spacing w:before="87" w:line="199" w:lineRule="auto"/>
              <w:jc w:val="center"/>
              <w:rPr>
                <w:rFonts w:hint="eastAsia" w:ascii="宋体" w:hAnsi="宋体" w:eastAsia="宋体" w:cs="宋体"/>
              </w:rPr>
            </w:pPr>
            <w:r>
              <w:rPr>
                <w:rFonts w:hint="eastAsia" w:ascii="宋体" w:hAnsi="宋体" w:eastAsia="宋体" w:cs="宋体"/>
                <w:spacing w:val="-10"/>
              </w:rPr>
              <w:t>大型</w:t>
            </w:r>
          </w:p>
        </w:tc>
        <w:tc>
          <w:tcPr>
            <w:tcW w:w="1462" w:type="dxa"/>
          </w:tcPr>
          <w:p w14:paraId="1B4962A8">
            <w:pPr>
              <w:spacing w:before="87" w:line="199" w:lineRule="auto"/>
              <w:ind w:left="528"/>
              <w:rPr>
                <w:rFonts w:hint="eastAsia" w:ascii="宋体" w:hAnsi="宋体" w:eastAsia="宋体" w:cs="宋体"/>
              </w:rPr>
            </w:pPr>
            <w:r>
              <w:rPr>
                <w:rFonts w:hint="eastAsia" w:ascii="宋体" w:hAnsi="宋体" w:eastAsia="宋体" w:cs="宋体"/>
                <w:spacing w:val="-10"/>
              </w:rPr>
              <w:t>一级</w:t>
            </w:r>
          </w:p>
        </w:tc>
        <w:tc>
          <w:tcPr>
            <w:tcW w:w="1590" w:type="dxa"/>
          </w:tcPr>
          <w:p w14:paraId="695A8C30">
            <w:pPr>
              <w:spacing w:before="87" w:line="199" w:lineRule="auto"/>
              <w:ind w:left="593"/>
              <w:rPr>
                <w:rFonts w:hint="eastAsia" w:ascii="宋体" w:hAnsi="宋体" w:eastAsia="宋体" w:cs="宋体"/>
              </w:rPr>
            </w:pPr>
            <w:r>
              <w:rPr>
                <w:rFonts w:hint="eastAsia" w:ascii="宋体" w:hAnsi="宋体" w:eastAsia="宋体" w:cs="宋体"/>
                <w:spacing w:val="-10"/>
              </w:rPr>
              <w:t>一级</w:t>
            </w:r>
          </w:p>
        </w:tc>
        <w:tc>
          <w:tcPr>
            <w:tcW w:w="1393" w:type="dxa"/>
          </w:tcPr>
          <w:p w14:paraId="51C10060">
            <w:pPr>
              <w:spacing w:before="87" w:line="199" w:lineRule="auto"/>
              <w:ind w:left="596"/>
              <w:rPr>
                <w:rFonts w:hint="eastAsia" w:ascii="宋体" w:hAnsi="宋体" w:eastAsia="宋体" w:cs="宋体"/>
              </w:rPr>
            </w:pPr>
            <w:r>
              <w:rPr>
                <w:rFonts w:hint="eastAsia" w:ascii="宋体" w:hAnsi="宋体" w:eastAsia="宋体" w:cs="宋体"/>
                <w:spacing w:val="-10"/>
              </w:rPr>
              <w:t>一级</w:t>
            </w:r>
          </w:p>
        </w:tc>
      </w:tr>
      <w:tr w14:paraId="522558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051" w:type="dxa"/>
            <w:vMerge w:val="continue"/>
            <w:tcBorders>
              <w:top w:val="nil"/>
              <w:bottom w:val="nil"/>
            </w:tcBorders>
          </w:tcPr>
          <w:p w14:paraId="30271FFE">
            <w:pPr>
              <w:rPr>
                <w:rFonts w:hint="eastAsia" w:ascii="宋体" w:hAnsi="宋体" w:eastAsia="宋体" w:cs="宋体"/>
              </w:rPr>
            </w:pPr>
          </w:p>
        </w:tc>
        <w:tc>
          <w:tcPr>
            <w:tcW w:w="1825" w:type="dxa"/>
          </w:tcPr>
          <w:p w14:paraId="68032BE9">
            <w:pPr>
              <w:spacing w:before="88" w:line="198" w:lineRule="auto"/>
              <w:jc w:val="center"/>
              <w:rPr>
                <w:rFonts w:hint="eastAsia" w:ascii="宋体" w:hAnsi="宋体" w:eastAsia="宋体" w:cs="宋体"/>
              </w:rPr>
            </w:pPr>
            <w:r>
              <w:rPr>
                <w:rFonts w:hint="eastAsia" w:ascii="宋体" w:hAnsi="宋体" w:eastAsia="宋体" w:cs="宋体"/>
                <w:spacing w:val="-24"/>
              </w:rPr>
              <w:t>中型</w:t>
            </w:r>
          </w:p>
        </w:tc>
        <w:tc>
          <w:tcPr>
            <w:tcW w:w="1462" w:type="dxa"/>
          </w:tcPr>
          <w:p w14:paraId="5CB88546">
            <w:pPr>
              <w:spacing w:before="88" w:line="198" w:lineRule="auto"/>
              <w:ind w:left="528"/>
              <w:rPr>
                <w:rFonts w:hint="eastAsia" w:ascii="宋体" w:hAnsi="宋体" w:eastAsia="宋体" w:cs="宋体"/>
              </w:rPr>
            </w:pPr>
            <w:r>
              <w:rPr>
                <w:rFonts w:hint="eastAsia" w:ascii="宋体" w:hAnsi="宋体" w:eastAsia="宋体" w:cs="宋体"/>
                <w:spacing w:val="-10"/>
              </w:rPr>
              <w:t>一级</w:t>
            </w:r>
          </w:p>
        </w:tc>
        <w:tc>
          <w:tcPr>
            <w:tcW w:w="1590" w:type="dxa"/>
          </w:tcPr>
          <w:p w14:paraId="2DDDC365">
            <w:pPr>
              <w:spacing w:before="88" w:line="198" w:lineRule="auto"/>
              <w:ind w:left="601"/>
              <w:rPr>
                <w:rFonts w:hint="eastAsia" w:ascii="宋体" w:hAnsi="宋体" w:eastAsia="宋体" w:cs="宋体"/>
              </w:rPr>
            </w:pPr>
            <w:r>
              <w:rPr>
                <w:rFonts w:hint="eastAsia" w:ascii="宋体" w:hAnsi="宋体" w:eastAsia="宋体" w:cs="宋体"/>
                <w:spacing w:val="-4"/>
              </w:rPr>
              <w:t>二级</w:t>
            </w:r>
          </w:p>
        </w:tc>
        <w:tc>
          <w:tcPr>
            <w:tcW w:w="1393" w:type="dxa"/>
          </w:tcPr>
          <w:p w14:paraId="2F9DC1EC">
            <w:pPr>
              <w:spacing w:before="88" w:line="198" w:lineRule="auto"/>
              <w:ind w:left="602"/>
              <w:rPr>
                <w:rFonts w:hint="eastAsia" w:ascii="宋体" w:hAnsi="宋体" w:eastAsia="宋体" w:cs="宋体"/>
              </w:rPr>
            </w:pPr>
            <w:r>
              <w:rPr>
                <w:rFonts w:hint="eastAsia" w:ascii="宋体" w:hAnsi="宋体" w:eastAsia="宋体" w:cs="宋体"/>
                <w:spacing w:val="-4"/>
              </w:rPr>
              <w:t>二级</w:t>
            </w:r>
          </w:p>
        </w:tc>
      </w:tr>
      <w:tr w14:paraId="1E1212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051" w:type="dxa"/>
            <w:vMerge w:val="continue"/>
            <w:tcBorders>
              <w:top w:val="nil"/>
            </w:tcBorders>
          </w:tcPr>
          <w:p w14:paraId="7DBFD659">
            <w:pPr>
              <w:rPr>
                <w:rFonts w:hint="eastAsia" w:ascii="宋体" w:hAnsi="宋体" w:eastAsia="宋体" w:cs="宋体"/>
              </w:rPr>
            </w:pPr>
          </w:p>
        </w:tc>
        <w:tc>
          <w:tcPr>
            <w:tcW w:w="1825" w:type="dxa"/>
          </w:tcPr>
          <w:p w14:paraId="438EFD9B">
            <w:pPr>
              <w:spacing w:before="87" w:line="199" w:lineRule="auto"/>
              <w:jc w:val="center"/>
              <w:rPr>
                <w:rFonts w:hint="eastAsia" w:ascii="宋体" w:hAnsi="宋体" w:eastAsia="宋体" w:cs="宋体"/>
              </w:rPr>
            </w:pPr>
            <w:r>
              <w:rPr>
                <w:rFonts w:hint="eastAsia" w:ascii="宋体" w:hAnsi="宋体" w:eastAsia="宋体" w:cs="宋体"/>
                <w:spacing w:val="-8"/>
              </w:rPr>
              <w:t>小型</w:t>
            </w:r>
          </w:p>
        </w:tc>
        <w:tc>
          <w:tcPr>
            <w:tcW w:w="1462" w:type="dxa"/>
          </w:tcPr>
          <w:p w14:paraId="5FA40517">
            <w:pPr>
              <w:spacing w:before="87" w:line="199" w:lineRule="auto"/>
              <w:ind w:left="528"/>
              <w:rPr>
                <w:rFonts w:hint="eastAsia" w:ascii="宋体" w:hAnsi="宋体" w:eastAsia="宋体" w:cs="宋体"/>
              </w:rPr>
            </w:pPr>
            <w:r>
              <w:rPr>
                <w:rFonts w:hint="eastAsia" w:ascii="宋体" w:hAnsi="宋体" w:eastAsia="宋体" w:cs="宋体"/>
                <w:spacing w:val="-10"/>
              </w:rPr>
              <w:t>一级</w:t>
            </w:r>
          </w:p>
        </w:tc>
        <w:tc>
          <w:tcPr>
            <w:tcW w:w="1590" w:type="dxa"/>
          </w:tcPr>
          <w:p w14:paraId="32641EC5">
            <w:pPr>
              <w:spacing w:before="87" w:line="199" w:lineRule="auto"/>
              <w:ind w:left="601"/>
              <w:rPr>
                <w:rFonts w:hint="eastAsia" w:ascii="宋体" w:hAnsi="宋体" w:eastAsia="宋体" w:cs="宋体"/>
              </w:rPr>
            </w:pPr>
            <w:r>
              <w:rPr>
                <w:rFonts w:hint="eastAsia" w:ascii="宋体" w:hAnsi="宋体" w:eastAsia="宋体" w:cs="宋体"/>
                <w:spacing w:val="-4"/>
              </w:rPr>
              <w:t>二级</w:t>
            </w:r>
          </w:p>
        </w:tc>
        <w:tc>
          <w:tcPr>
            <w:tcW w:w="1393" w:type="dxa"/>
          </w:tcPr>
          <w:p w14:paraId="45FD361F">
            <w:pPr>
              <w:spacing w:before="87" w:line="199" w:lineRule="auto"/>
              <w:ind w:left="601"/>
              <w:rPr>
                <w:rFonts w:hint="eastAsia" w:ascii="宋体" w:hAnsi="宋体" w:eastAsia="宋体" w:cs="宋体"/>
              </w:rPr>
            </w:pPr>
            <w:r>
              <w:rPr>
                <w:rFonts w:hint="eastAsia" w:ascii="宋体" w:hAnsi="宋体" w:eastAsia="宋体" w:cs="宋体"/>
                <w:spacing w:val="-12"/>
              </w:rPr>
              <w:t>三级</w:t>
            </w:r>
          </w:p>
        </w:tc>
      </w:tr>
      <w:tr w14:paraId="74040C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051" w:type="dxa"/>
            <w:vMerge w:val="restart"/>
            <w:tcBorders>
              <w:bottom w:val="nil"/>
            </w:tcBorders>
          </w:tcPr>
          <w:p w14:paraId="366971D6">
            <w:pPr>
              <w:spacing w:line="395" w:lineRule="auto"/>
              <w:rPr>
                <w:rFonts w:hint="eastAsia" w:ascii="宋体" w:hAnsi="宋体" w:eastAsia="宋体" w:cs="宋体"/>
              </w:rPr>
            </w:pPr>
          </w:p>
          <w:p w14:paraId="0640ED45">
            <w:pPr>
              <w:spacing w:before="78" w:line="224" w:lineRule="auto"/>
              <w:ind w:left="699"/>
              <w:rPr>
                <w:rFonts w:hint="eastAsia" w:ascii="宋体" w:hAnsi="宋体" w:eastAsia="宋体" w:cs="宋体"/>
              </w:rPr>
            </w:pPr>
            <w:r>
              <w:rPr>
                <w:rFonts w:hint="eastAsia" w:ascii="宋体" w:hAnsi="宋体" w:eastAsia="宋体" w:cs="宋体"/>
                <w:spacing w:val="-9"/>
              </w:rPr>
              <w:t>一般区</w:t>
            </w:r>
          </w:p>
        </w:tc>
        <w:tc>
          <w:tcPr>
            <w:tcW w:w="1825" w:type="dxa"/>
          </w:tcPr>
          <w:p w14:paraId="03DB3155">
            <w:pPr>
              <w:spacing w:before="88" w:line="198" w:lineRule="auto"/>
              <w:jc w:val="center"/>
              <w:rPr>
                <w:rFonts w:hint="eastAsia" w:ascii="宋体" w:hAnsi="宋体" w:eastAsia="宋体" w:cs="宋体"/>
              </w:rPr>
            </w:pPr>
            <w:r>
              <w:rPr>
                <w:rFonts w:hint="eastAsia" w:ascii="宋体" w:hAnsi="宋体" w:eastAsia="宋体" w:cs="宋体"/>
                <w:b/>
                <w:bCs/>
                <w:spacing w:val="-10"/>
              </w:rPr>
              <w:t>大型</w:t>
            </w:r>
          </w:p>
        </w:tc>
        <w:tc>
          <w:tcPr>
            <w:tcW w:w="1462" w:type="dxa"/>
          </w:tcPr>
          <w:p w14:paraId="0B004560">
            <w:pPr>
              <w:spacing w:before="88" w:line="198" w:lineRule="auto"/>
              <w:ind w:left="528"/>
              <w:rPr>
                <w:rFonts w:hint="eastAsia" w:ascii="宋体" w:hAnsi="宋体" w:eastAsia="宋体" w:cs="宋体"/>
              </w:rPr>
            </w:pPr>
            <w:r>
              <w:rPr>
                <w:rFonts w:hint="eastAsia" w:ascii="宋体" w:hAnsi="宋体" w:eastAsia="宋体" w:cs="宋体"/>
                <w:spacing w:val="-10"/>
              </w:rPr>
              <w:t>一级</w:t>
            </w:r>
          </w:p>
        </w:tc>
        <w:tc>
          <w:tcPr>
            <w:tcW w:w="1590" w:type="dxa"/>
          </w:tcPr>
          <w:p w14:paraId="24722FE5">
            <w:pPr>
              <w:spacing w:before="88" w:line="198" w:lineRule="auto"/>
              <w:ind w:left="601"/>
              <w:rPr>
                <w:rFonts w:hint="eastAsia" w:ascii="宋体" w:hAnsi="宋体" w:eastAsia="宋体" w:cs="宋体"/>
              </w:rPr>
            </w:pPr>
            <w:r>
              <w:rPr>
                <w:rFonts w:hint="eastAsia" w:ascii="宋体" w:hAnsi="宋体" w:eastAsia="宋体" w:cs="宋体"/>
                <w:b/>
                <w:bCs/>
                <w:spacing w:val="-4"/>
              </w:rPr>
              <w:t>二级</w:t>
            </w:r>
          </w:p>
        </w:tc>
        <w:tc>
          <w:tcPr>
            <w:tcW w:w="1393" w:type="dxa"/>
          </w:tcPr>
          <w:p w14:paraId="4BA42AA0">
            <w:pPr>
              <w:spacing w:before="88" w:line="198" w:lineRule="auto"/>
              <w:ind w:left="602"/>
              <w:rPr>
                <w:rFonts w:hint="eastAsia" w:ascii="宋体" w:hAnsi="宋体" w:eastAsia="宋体" w:cs="宋体"/>
              </w:rPr>
            </w:pPr>
            <w:r>
              <w:rPr>
                <w:rFonts w:hint="eastAsia" w:ascii="宋体" w:hAnsi="宋体" w:eastAsia="宋体" w:cs="宋体"/>
                <w:spacing w:val="-4"/>
              </w:rPr>
              <w:t>二级</w:t>
            </w:r>
          </w:p>
        </w:tc>
      </w:tr>
      <w:tr w14:paraId="25F377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2051" w:type="dxa"/>
            <w:vMerge w:val="continue"/>
            <w:tcBorders>
              <w:top w:val="nil"/>
              <w:bottom w:val="nil"/>
            </w:tcBorders>
          </w:tcPr>
          <w:p w14:paraId="5A500779">
            <w:pPr>
              <w:rPr>
                <w:rFonts w:hint="eastAsia" w:ascii="宋体" w:hAnsi="宋体" w:eastAsia="宋体" w:cs="宋体"/>
              </w:rPr>
            </w:pPr>
          </w:p>
        </w:tc>
        <w:tc>
          <w:tcPr>
            <w:tcW w:w="1825" w:type="dxa"/>
          </w:tcPr>
          <w:p w14:paraId="4B3B8D64">
            <w:pPr>
              <w:spacing w:before="89" w:line="197" w:lineRule="auto"/>
              <w:jc w:val="center"/>
              <w:rPr>
                <w:rFonts w:hint="eastAsia" w:ascii="宋体" w:hAnsi="宋体" w:eastAsia="宋体" w:cs="宋体"/>
              </w:rPr>
            </w:pPr>
            <w:r>
              <w:rPr>
                <w:rFonts w:hint="eastAsia" w:ascii="宋体" w:hAnsi="宋体" w:eastAsia="宋体" w:cs="宋体"/>
                <w:b w:val="0"/>
                <w:bCs w:val="0"/>
                <w:spacing w:val="-24"/>
              </w:rPr>
              <w:t>中型</w:t>
            </w:r>
          </w:p>
        </w:tc>
        <w:tc>
          <w:tcPr>
            <w:tcW w:w="1462" w:type="dxa"/>
          </w:tcPr>
          <w:p w14:paraId="46AC0667">
            <w:pPr>
              <w:spacing w:before="89" w:line="197" w:lineRule="auto"/>
              <w:ind w:left="528"/>
              <w:rPr>
                <w:rFonts w:hint="eastAsia" w:ascii="宋体" w:hAnsi="宋体" w:eastAsia="宋体" w:cs="宋体"/>
              </w:rPr>
            </w:pPr>
            <w:r>
              <w:rPr>
                <w:rFonts w:hint="eastAsia" w:ascii="宋体" w:hAnsi="宋体" w:eastAsia="宋体" w:cs="宋体"/>
                <w:spacing w:val="-10"/>
              </w:rPr>
              <w:t>一级</w:t>
            </w:r>
          </w:p>
        </w:tc>
        <w:tc>
          <w:tcPr>
            <w:tcW w:w="1590" w:type="dxa"/>
          </w:tcPr>
          <w:p w14:paraId="507E656C">
            <w:pPr>
              <w:spacing w:before="89" w:line="197" w:lineRule="auto"/>
              <w:ind w:left="601"/>
              <w:rPr>
                <w:rFonts w:hint="eastAsia" w:ascii="宋体" w:hAnsi="宋体" w:eastAsia="宋体" w:cs="宋体"/>
              </w:rPr>
            </w:pPr>
            <w:r>
              <w:rPr>
                <w:rFonts w:hint="eastAsia" w:ascii="宋体" w:hAnsi="宋体" w:eastAsia="宋体" w:cs="宋体"/>
                <w:b w:val="0"/>
                <w:bCs w:val="0"/>
                <w:spacing w:val="-4"/>
              </w:rPr>
              <w:t>二级</w:t>
            </w:r>
          </w:p>
        </w:tc>
        <w:tc>
          <w:tcPr>
            <w:tcW w:w="1393" w:type="dxa"/>
          </w:tcPr>
          <w:p w14:paraId="1C05CF6E">
            <w:pPr>
              <w:spacing w:before="89" w:line="197" w:lineRule="auto"/>
              <w:ind w:left="601"/>
              <w:rPr>
                <w:rFonts w:hint="eastAsia" w:ascii="宋体" w:hAnsi="宋体" w:eastAsia="宋体" w:cs="宋体"/>
              </w:rPr>
            </w:pPr>
            <w:r>
              <w:rPr>
                <w:rFonts w:hint="eastAsia" w:ascii="宋体" w:hAnsi="宋体" w:eastAsia="宋体" w:cs="宋体"/>
                <w:spacing w:val="-12"/>
              </w:rPr>
              <w:t>三级</w:t>
            </w:r>
          </w:p>
        </w:tc>
      </w:tr>
      <w:tr w14:paraId="0FC7D1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6" w:hRule="atLeast"/>
        </w:trPr>
        <w:tc>
          <w:tcPr>
            <w:tcW w:w="2051" w:type="dxa"/>
            <w:vMerge w:val="continue"/>
            <w:tcBorders>
              <w:top w:val="nil"/>
            </w:tcBorders>
          </w:tcPr>
          <w:p w14:paraId="08448FA2">
            <w:pPr>
              <w:rPr>
                <w:rFonts w:hint="eastAsia" w:ascii="宋体" w:hAnsi="宋体" w:eastAsia="宋体" w:cs="宋体"/>
              </w:rPr>
            </w:pPr>
          </w:p>
        </w:tc>
        <w:tc>
          <w:tcPr>
            <w:tcW w:w="1825" w:type="dxa"/>
          </w:tcPr>
          <w:p w14:paraId="4946FFC2">
            <w:pPr>
              <w:spacing w:before="144" w:line="209" w:lineRule="auto"/>
              <w:jc w:val="center"/>
              <w:rPr>
                <w:rFonts w:hint="eastAsia" w:ascii="宋体" w:hAnsi="宋体" w:eastAsia="宋体" w:cs="宋体"/>
              </w:rPr>
            </w:pPr>
            <w:r>
              <w:rPr>
                <w:rFonts w:hint="eastAsia" w:ascii="宋体" w:hAnsi="宋体" w:eastAsia="宋体" w:cs="宋体"/>
                <w:spacing w:val="-8"/>
              </w:rPr>
              <w:t>小型</w:t>
            </w:r>
          </w:p>
        </w:tc>
        <w:tc>
          <w:tcPr>
            <w:tcW w:w="1462" w:type="dxa"/>
          </w:tcPr>
          <w:p w14:paraId="43CEA160">
            <w:pPr>
              <w:spacing w:before="141" w:line="211" w:lineRule="auto"/>
              <w:ind w:left="534"/>
              <w:rPr>
                <w:rFonts w:hint="eastAsia" w:ascii="宋体" w:hAnsi="宋体" w:eastAsia="宋体" w:cs="宋体"/>
              </w:rPr>
            </w:pPr>
            <w:r>
              <w:rPr>
                <w:rFonts w:hint="eastAsia" w:ascii="宋体" w:hAnsi="宋体" w:eastAsia="宋体" w:cs="宋体"/>
                <w:spacing w:val="-4"/>
              </w:rPr>
              <w:t>二级</w:t>
            </w:r>
          </w:p>
        </w:tc>
        <w:tc>
          <w:tcPr>
            <w:tcW w:w="1590" w:type="dxa"/>
          </w:tcPr>
          <w:p w14:paraId="6911A8EE">
            <w:pPr>
              <w:spacing w:before="141" w:line="211" w:lineRule="auto"/>
              <w:ind w:left="600"/>
              <w:rPr>
                <w:rFonts w:hint="eastAsia" w:ascii="宋体" w:hAnsi="宋体" w:eastAsia="宋体" w:cs="宋体"/>
              </w:rPr>
            </w:pPr>
            <w:r>
              <w:rPr>
                <w:rFonts w:hint="eastAsia" w:ascii="宋体" w:hAnsi="宋体" w:eastAsia="宋体" w:cs="宋体"/>
                <w:spacing w:val="-12"/>
              </w:rPr>
              <w:t>三级</w:t>
            </w:r>
          </w:p>
        </w:tc>
        <w:tc>
          <w:tcPr>
            <w:tcW w:w="1393" w:type="dxa"/>
          </w:tcPr>
          <w:p w14:paraId="658A901F">
            <w:pPr>
              <w:spacing w:before="141" w:line="211" w:lineRule="auto"/>
              <w:ind w:left="601"/>
              <w:rPr>
                <w:rFonts w:hint="eastAsia" w:ascii="宋体" w:hAnsi="宋体" w:eastAsia="宋体" w:cs="宋体"/>
              </w:rPr>
            </w:pPr>
            <w:r>
              <w:rPr>
                <w:rFonts w:hint="eastAsia" w:ascii="宋体" w:hAnsi="宋体" w:eastAsia="宋体" w:cs="宋体"/>
                <w:spacing w:val="-12"/>
              </w:rPr>
              <w:t>三级</w:t>
            </w:r>
          </w:p>
        </w:tc>
      </w:tr>
    </w:tbl>
    <w:p w14:paraId="7FABA6C0">
      <w:pPr>
        <w:pStyle w:val="6"/>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bookmarkStart w:id="90" w:name="bookmark85"/>
      <w:bookmarkEnd w:id="90"/>
      <w:bookmarkStart w:id="91" w:name="bookmark86"/>
      <w:bookmarkEnd w:id="91"/>
      <w:r>
        <w:rPr>
          <w:rFonts w:hint="eastAsia" w:ascii="宋体" w:hAnsi="宋体" w:eastAsia="宋体" w:cs="宋体"/>
          <w:spacing w:val="-1"/>
          <w:sz w:val="28"/>
          <w:szCs w:val="28"/>
          <w:lang w:eastAsia="zh-CN"/>
        </w:rPr>
        <w:t>3、现状地质环境问题</w:t>
      </w:r>
    </w:p>
    <w:p w14:paraId="77291B71">
      <w:pPr>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r>
        <w:rPr>
          <w:rFonts w:hint="eastAsia" w:ascii="宋体" w:hAnsi="宋体" w:eastAsia="宋体" w:cs="宋体"/>
          <w:spacing w:val="-1"/>
          <w:sz w:val="28"/>
          <w:szCs w:val="28"/>
          <w:lang w:eastAsia="zh-CN"/>
        </w:rPr>
        <w:t>⑴地质灾害分布及特征</w:t>
      </w:r>
    </w:p>
    <w:p w14:paraId="7F0EBC74">
      <w:pPr>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r>
        <w:rPr>
          <w:rFonts w:hint="eastAsia" w:ascii="宋体" w:hAnsi="宋体" w:eastAsia="宋体" w:cs="宋体"/>
          <w:spacing w:val="-1"/>
          <w:sz w:val="28"/>
          <w:szCs w:val="28"/>
          <w:lang w:eastAsia="zh-CN"/>
        </w:rPr>
        <w:t>该矿山属于新建矿山，根据现场调查发现，</w:t>
      </w:r>
      <w:r>
        <w:rPr>
          <w:rFonts w:hint="eastAsia" w:ascii="宋体" w:hAnsi="宋体" w:eastAsia="宋体" w:cs="宋体"/>
          <w:spacing w:val="-1"/>
          <w:sz w:val="28"/>
          <w:szCs w:val="28"/>
          <w:lang w:val="en-US" w:eastAsia="zh-CN"/>
        </w:rPr>
        <w:t>矿区</w:t>
      </w:r>
      <w:r>
        <w:rPr>
          <w:rFonts w:hint="eastAsia" w:ascii="宋体" w:hAnsi="宋体" w:eastAsia="宋体" w:cs="宋体"/>
          <w:spacing w:val="-1"/>
          <w:sz w:val="28"/>
          <w:szCs w:val="28"/>
          <w:lang w:eastAsia="zh-CN"/>
        </w:rPr>
        <w:t>北侧（原采矿权范围内），露天采场以往进行了开采工作，</w:t>
      </w:r>
      <w:r>
        <w:rPr>
          <w:rFonts w:hint="eastAsia" w:ascii="宋体" w:hAnsi="宋体" w:eastAsia="宋体" w:cs="宋体"/>
          <w:spacing w:val="-1"/>
          <w:sz w:val="28"/>
          <w:szCs w:val="28"/>
          <w:lang w:val="en-US" w:eastAsia="zh-CN"/>
        </w:rPr>
        <w:t>已形成采坑，</w:t>
      </w:r>
      <w:r>
        <w:rPr>
          <w:rFonts w:hint="eastAsia" w:ascii="宋体" w:hAnsi="宋体" w:eastAsia="宋体" w:cs="宋体"/>
          <w:spacing w:val="-1"/>
          <w:sz w:val="28"/>
          <w:szCs w:val="28"/>
          <w:lang w:eastAsia="zh-CN"/>
        </w:rPr>
        <w:t>矿区外工业场地及矿山道路等压占土地面积为</w:t>
      </w:r>
      <w:r>
        <w:rPr>
          <w:rFonts w:hint="eastAsia" w:ascii="宋体" w:hAnsi="宋体" w:eastAsia="宋体" w:cs="宋体"/>
          <w:spacing w:val="-1"/>
          <w:sz w:val="28"/>
          <w:szCs w:val="28"/>
          <w:lang w:val="en-US" w:eastAsia="zh-CN"/>
        </w:rPr>
        <w:t>4.47</w:t>
      </w:r>
      <w:r>
        <w:rPr>
          <w:rFonts w:hint="eastAsia" w:ascii="宋体" w:hAnsi="宋体" w:eastAsia="宋体" w:cs="宋体"/>
          <w:spacing w:val="-1"/>
          <w:sz w:val="28"/>
          <w:szCs w:val="28"/>
          <w:lang w:eastAsia="zh-CN"/>
        </w:rPr>
        <w:t>hm</w:t>
      </w:r>
      <w:r>
        <w:rPr>
          <w:rFonts w:hint="eastAsia" w:ascii="宋体" w:hAnsi="宋体" w:eastAsia="宋体" w:cs="宋体"/>
          <w:spacing w:val="-1"/>
          <w:sz w:val="28"/>
          <w:szCs w:val="28"/>
          <w:vertAlign w:val="superscript"/>
          <w:lang w:eastAsia="zh-CN"/>
        </w:rPr>
        <w:t>2</w:t>
      </w:r>
      <w:r>
        <w:rPr>
          <w:rFonts w:hint="eastAsia" w:ascii="宋体" w:hAnsi="宋体" w:eastAsia="宋体" w:cs="宋体"/>
          <w:spacing w:val="-1"/>
          <w:sz w:val="28"/>
          <w:szCs w:val="28"/>
          <w:lang w:eastAsia="zh-CN"/>
        </w:rPr>
        <w:t>，建筑物平均高度3m。</w:t>
      </w:r>
    </w:p>
    <w:p w14:paraId="73609876">
      <w:pPr>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r>
        <w:rPr>
          <w:rFonts w:hint="eastAsia" w:ascii="宋体" w:hAnsi="宋体" w:eastAsia="宋体" w:cs="宋体"/>
          <w:spacing w:val="-1"/>
          <w:sz w:val="28"/>
          <w:szCs w:val="28"/>
          <w:lang w:eastAsia="zh-CN"/>
        </w:rPr>
        <w:t>经过野外调查访问，矿山主要是矿体顶部仅有少量的坡积物及第四系风尘沙覆盖，厚度小，一般在0.1～</w:t>
      </w:r>
      <w:r>
        <w:rPr>
          <w:rFonts w:hint="eastAsia" w:ascii="宋体" w:hAnsi="宋体" w:eastAsia="宋体" w:cs="宋体"/>
          <w:spacing w:val="-1"/>
          <w:sz w:val="28"/>
          <w:szCs w:val="28"/>
          <w:lang w:val="en-US" w:eastAsia="zh-CN"/>
        </w:rPr>
        <w:t>0.3</w:t>
      </w:r>
      <w:r>
        <w:rPr>
          <w:rFonts w:hint="eastAsia" w:ascii="宋体" w:hAnsi="宋体" w:eastAsia="宋体" w:cs="宋体"/>
          <w:spacing w:val="-1"/>
          <w:sz w:val="28"/>
          <w:szCs w:val="28"/>
          <w:lang w:eastAsia="zh-CN"/>
        </w:rPr>
        <w:t>m之间，平均厚度约0.</w:t>
      </w:r>
      <w:r>
        <w:rPr>
          <w:rFonts w:hint="eastAsia" w:ascii="宋体" w:hAnsi="宋体" w:eastAsia="宋体" w:cs="宋体"/>
          <w:spacing w:val="-1"/>
          <w:sz w:val="28"/>
          <w:szCs w:val="28"/>
          <w:lang w:val="en-US" w:eastAsia="zh-CN"/>
        </w:rPr>
        <w:t>2</w:t>
      </w:r>
      <w:r>
        <w:rPr>
          <w:rFonts w:hint="eastAsia" w:ascii="宋体" w:hAnsi="宋体" w:eastAsia="宋体" w:cs="宋体"/>
          <w:spacing w:val="-1"/>
          <w:sz w:val="28"/>
          <w:szCs w:val="28"/>
          <w:lang w:eastAsia="zh-CN"/>
        </w:rPr>
        <w:t>m，现状条件下无地质灾害发育，对矿山地质环境影响较轻。</w:t>
      </w:r>
    </w:p>
    <w:p w14:paraId="5BC5DD7A">
      <w:pPr>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r>
        <w:rPr>
          <w:rFonts w:hint="eastAsia" w:ascii="宋体" w:hAnsi="宋体" w:eastAsia="宋体" w:cs="宋体"/>
          <w:spacing w:val="-1"/>
          <w:sz w:val="28"/>
          <w:szCs w:val="28"/>
          <w:lang w:eastAsia="zh-CN"/>
        </w:rPr>
        <w:t>⑵地形地貌景观破坏</w:t>
      </w:r>
    </w:p>
    <w:p w14:paraId="50CE7FD7">
      <w:pPr>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bookmarkStart w:id="92" w:name="bookmark257"/>
      <w:bookmarkEnd w:id="92"/>
      <w:r>
        <w:rPr>
          <w:rFonts w:hint="eastAsia" w:ascii="宋体" w:hAnsi="宋体" w:eastAsia="宋体" w:cs="宋体"/>
          <w:spacing w:val="-1"/>
          <w:sz w:val="28"/>
          <w:szCs w:val="28"/>
          <w:lang w:eastAsia="zh-CN"/>
        </w:rPr>
        <w:t>矿业活动对地形地貌的破坏影响一方面是指对原生的地形地貌景观影响和破坏，对另一方面指对重要自然保护区、景观区、居民集中生活区、重要交通干线、河流湖泊直观可视范围内地形地貌景观影响。</w:t>
      </w:r>
    </w:p>
    <w:p w14:paraId="1D0B31E0">
      <w:pPr>
        <w:widowControl w:val="0"/>
        <w:kinsoku/>
        <w:adjustRightInd/>
        <w:spacing w:line="360" w:lineRule="auto"/>
        <w:ind w:firstLine="564" w:firstLineChars="200"/>
        <w:jc w:val="both"/>
        <w:rPr>
          <w:rFonts w:hint="eastAsia" w:ascii="宋体" w:hAnsi="宋体" w:eastAsia="宋体" w:cs="宋体"/>
          <w:sz w:val="28"/>
          <w:szCs w:val="28"/>
          <w:lang w:eastAsia="zh-CN"/>
        </w:rPr>
      </w:pPr>
      <w:r>
        <w:rPr>
          <w:rFonts w:hint="eastAsia" w:ascii="宋体" w:hAnsi="宋体" w:eastAsia="宋体" w:cs="宋体"/>
          <w:spacing w:val="1"/>
          <w:sz w:val="28"/>
          <w:szCs w:val="28"/>
          <w:lang w:eastAsia="zh-CN"/>
        </w:rPr>
        <w:t>矿区内及附近无各类地质遗迹、自然保护区、人文景观、风景旅游区。</w:t>
      </w:r>
      <w:r>
        <w:rPr>
          <w:rFonts w:hint="eastAsia" w:ascii="宋体" w:hAnsi="宋体" w:eastAsia="宋体" w:cs="宋体"/>
          <w:spacing w:val="3"/>
          <w:sz w:val="28"/>
          <w:szCs w:val="28"/>
          <w:lang w:eastAsia="zh-CN"/>
        </w:rPr>
        <w:t>现状条件下，矿区以往在矿区北侧进行了采矿活动，原采区内前期已进行恢复治理工程。矿区以往在</w:t>
      </w:r>
      <w:r>
        <w:rPr>
          <w:rFonts w:hint="eastAsia" w:ascii="宋体" w:hAnsi="宋体" w:eastAsia="宋体" w:cs="宋体"/>
          <w:sz w:val="28"/>
          <w:szCs w:val="28"/>
          <w:lang w:eastAsia="zh-CN"/>
        </w:rPr>
        <w:t>在矿权北侧约</w:t>
      </w:r>
      <w:r>
        <w:rPr>
          <w:rFonts w:hint="eastAsia" w:ascii="宋体" w:hAnsi="宋体" w:eastAsia="宋体" w:cs="宋体"/>
          <w:sz w:val="28"/>
          <w:szCs w:val="28"/>
          <w:lang w:val="en-US" w:eastAsia="zh-CN"/>
        </w:rPr>
        <w:t>30</w:t>
      </w:r>
      <w:r>
        <w:rPr>
          <w:rFonts w:hint="eastAsia" w:ascii="宋体" w:hAnsi="宋体" w:eastAsia="宋体" w:cs="宋体"/>
          <w:sz w:val="28"/>
          <w:szCs w:val="28"/>
          <w:lang w:eastAsia="zh-CN"/>
        </w:rPr>
        <w:t>m处修建了工业场地，</w:t>
      </w:r>
      <w:r>
        <w:rPr>
          <w:rFonts w:hint="eastAsia" w:ascii="宋体" w:hAnsi="宋体" w:eastAsia="宋体" w:cs="宋体"/>
          <w:spacing w:val="7"/>
          <w:sz w:val="28"/>
          <w:szCs w:val="28"/>
          <w:lang w:eastAsia="zh-CN"/>
        </w:rPr>
        <w:t>破</w:t>
      </w:r>
      <w:r>
        <w:rPr>
          <w:rFonts w:hint="eastAsia" w:ascii="宋体" w:hAnsi="宋体" w:eastAsia="宋体" w:cs="宋体"/>
          <w:spacing w:val="6"/>
          <w:sz w:val="28"/>
          <w:szCs w:val="28"/>
          <w:lang w:eastAsia="zh-CN"/>
        </w:rPr>
        <w:t>坏了原</w:t>
      </w:r>
      <w:r>
        <w:rPr>
          <w:rFonts w:hint="eastAsia" w:ascii="宋体" w:hAnsi="宋体" w:eastAsia="宋体" w:cs="宋体"/>
          <w:spacing w:val="-1"/>
          <w:sz w:val="28"/>
          <w:szCs w:val="28"/>
          <w:lang w:eastAsia="zh-CN"/>
        </w:rPr>
        <w:t>有的地形地貌，</w:t>
      </w:r>
      <w:r>
        <w:rPr>
          <w:rFonts w:hint="eastAsia" w:ascii="宋体" w:hAnsi="宋体" w:eastAsia="宋体" w:cs="宋体"/>
          <w:sz w:val="28"/>
          <w:szCs w:val="28"/>
          <w:lang w:eastAsia="zh-CN"/>
        </w:rPr>
        <w:t>占地面积</w:t>
      </w:r>
      <w:r>
        <w:rPr>
          <w:rFonts w:hint="eastAsia" w:ascii="宋体" w:hAnsi="宋体" w:eastAsia="宋体" w:cs="宋体"/>
          <w:sz w:val="28"/>
          <w:szCs w:val="28"/>
          <w:lang w:val="en-US" w:eastAsia="zh-CN"/>
        </w:rPr>
        <w:t>4.23</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w:t>
      </w:r>
    </w:p>
    <w:p w14:paraId="51851EE3">
      <w:pPr>
        <w:widowControl w:val="0"/>
        <w:kinsoku/>
        <w:adjustRightInd/>
        <w:spacing w:line="360" w:lineRule="auto"/>
        <w:ind w:firstLine="572" w:firstLineChars="200"/>
        <w:jc w:val="both"/>
        <w:rPr>
          <w:rFonts w:hint="eastAsia" w:ascii="宋体" w:hAnsi="宋体" w:eastAsia="宋体" w:cs="宋体"/>
          <w:sz w:val="28"/>
          <w:szCs w:val="28"/>
          <w:lang w:eastAsia="zh-CN"/>
        </w:rPr>
      </w:pPr>
      <w:r>
        <w:rPr>
          <w:rFonts w:hint="eastAsia" w:ascii="宋体" w:hAnsi="宋体" w:eastAsia="宋体" w:cs="宋体"/>
          <w:spacing w:val="3"/>
          <w:sz w:val="28"/>
          <w:szCs w:val="28"/>
          <w:lang w:eastAsia="zh-CN"/>
        </w:rPr>
        <w:t>综上所述，采矿场地对地形地貌景观影响和破坏较严重，评估区内其他区域对地形地貌景观影响和破坏</w:t>
      </w:r>
      <w:r>
        <w:rPr>
          <w:rFonts w:hint="eastAsia" w:ascii="宋体" w:hAnsi="宋体" w:eastAsia="宋体" w:cs="宋体"/>
          <w:spacing w:val="-4"/>
          <w:sz w:val="28"/>
          <w:szCs w:val="28"/>
          <w:lang w:eastAsia="zh-CN"/>
        </w:rPr>
        <w:t>较轻。</w:t>
      </w:r>
    </w:p>
    <w:p w14:paraId="7AFED35C">
      <w:pPr>
        <w:widowControl w:val="0"/>
        <w:kinsoku/>
        <w:adjustRightInd/>
        <w:spacing w:line="360" w:lineRule="auto"/>
        <w:ind w:firstLine="532" w:firstLineChars="200"/>
        <w:jc w:val="both"/>
        <w:rPr>
          <w:rFonts w:hint="eastAsia" w:ascii="宋体" w:hAnsi="宋体" w:eastAsia="宋体" w:cs="宋体"/>
          <w:sz w:val="28"/>
          <w:szCs w:val="28"/>
          <w:lang w:eastAsia="zh-CN"/>
        </w:rPr>
      </w:pPr>
      <w:r>
        <w:rPr>
          <w:rFonts w:hint="eastAsia" w:ascii="宋体" w:hAnsi="宋体" w:eastAsia="宋体" w:cs="宋体"/>
          <w:spacing w:val="-7"/>
          <w:sz w:val="28"/>
          <w:szCs w:val="28"/>
          <w:lang w:eastAsia="zh-CN"/>
        </w:rPr>
        <w:t>⑶含水层破坏</w:t>
      </w:r>
    </w:p>
    <w:p w14:paraId="126A7408">
      <w:pPr>
        <w:widowControl w:val="0"/>
        <w:kinsoku/>
        <w:adjustRightInd/>
        <w:snapToGrid/>
        <w:spacing w:line="360" w:lineRule="auto"/>
        <w:ind w:firstLine="552" w:firstLineChars="200"/>
        <w:jc w:val="both"/>
        <w:rPr>
          <w:rFonts w:hint="eastAsia" w:ascii="宋体" w:hAnsi="宋体" w:eastAsia="宋体" w:cs="宋体"/>
          <w:spacing w:val="-2"/>
          <w:sz w:val="28"/>
          <w:szCs w:val="28"/>
          <w:lang w:eastAsia="zh-CN"/>
        </w:rPr>
      </w:pPr>
      <w:r>
        <w:rPr>
          <w:rFonts w:hint="eastAsia" w:ascii="宋体" w:hAnsi="宋体" w:eastAsia="宋体" w:cs="宋体"/>
          <w:spacing w:val="-2"/>
          <w:sz w:val="28"/>
          <w:szCs w:val="28"/>
          <w:lang w:eastAsia="zh-CN"/>
        </w:rPr>
        <w:t>矿山为露天开采，最低开采标高为</w:t>
      </w:r>
      <w:r>
        <w:rPr>
          <w:rFonts w:hint="eastAsia" w:ascii="宋体" w:hAnsi="宋体" w:eastAsia="宋体" w:cs="宋体"/>
          <w:sz w:val="28"/>
          <w:szCs w:val="28"/>
          <w:lang w:eastAsia="zh-CN"/>
        </w:rPr>
        <w:t>2868m，</w:t>
      </w:r>
      <w:r>
        <w:rPr>
          <w:rFonts w:hint="eastAsia" w:ascii="宋体" w:hAnsi="宋体" w:eastAsia="宋体" w:cs="宋体"/>
          <w:spacing w:val="-2"/>
          <w:sz w:val="28"/>
          <w:szCs w:val="28"/>
          <w:lang w:eastAsia="zh-CN"/>
        </w:rPr>
        <w:t>高于当地地下水位线，矿区开采不会对含水层结构造成破坏。矿区附近无水源供水工程，矿山建设对含水层结构也不会产生破坏。</w:t>
      </w:r>
    </w:p>
    <w:p w14:paraId="1CFF7C04">
      <w:pPr>
        <w:widowControl w:val="0"/>
        <w:kinsoku/>
        <w:adjustRightInd/>
        <w:spacing w:line="360" w:lineRule="auto"/>
        <w:ind w:firstLine="572" w:firstLineChars="200"/>
        <w:jc w:val="both"/>
        <w:rPr>
          <w:rFonts w:hint="eastAsia" w:ascii="宋体" w:hAnsi="宋体" w:eastAsia="宋体" w:cs="宋体"/>
          <w:sz w:val="28"/>
          <w:szCs w:val="28"/>
          <w:lang w:eastAsia="zh-CN"/>
        </w:rPr>
      </w:pPr>
      <w:r>
        <w:rPr>
          <w:rFonts w:hint="eastAsia" w:ascii="宋体" w:hAnsi="宋体" w:eastAsia="宋体" w:cs="宋体"/>
          <w:spacing w:val="3"/>
          <w:sz w:val="28"/>
          <w:szCs w:val="28"/>
          <w:lang w:eastAsia="zh-CN"/>
        </w:rPr>
        <w:t>综上所述，现状条件下采矿活动对含水层破坏轻微，面积小、对周围地</w:t>
      </w:r>
      <w:r>
        <w:rPr>
          <w:rFonts w:hint="eastAsia" w:ascii="宋体" w:hAnsi="宋体" w:eastAsia="宋体" w:cs="宋体"/>
          <w:spacing w:val="-1"/>
          <w:sz w:val="28"/>
          <w:szCs w:val="28"/>
          <w:lang w:eastAsia="zh-CN"/>
        </w:rPr>
        <w:t>下水影响小，对附近居民供水影响较小，危害性较小。</w:t>
      </w:r>
    </w:p>
    <w:p w14:paraId="10456838">
      <w:pPr>
        <w:pStyle w:val="6"/>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bookmarkStart w:id="93" w:name="bookmark88"/>
      <w:bookmarkEnd w:id="93"/>
      <w:bookmarkStart w:id="94" w:name="bookmark87"/>
      <w:bookmarkEnd w:id="94"/>
      <w:r>
        <w:rPr>
          <w:rFonts w:hint="eastAsia" w:ascii="宋体" w:hAnsi="宋体" w:eastAsia="宋体" w:cs="宋体"/>
          <w:spacing w:val="-1"/>
          <w:sz w:val="28"/>
          <w:szCs w:val="28"/>
          <w:lang w:eastAsia="zh-CN"/>
        </w:rPr>
        <w:t>⑷土地资源损毁问题</w:t>
      </w:r>
    </w:p>
    <w:p w14:paraId="51BBD9C0">
      <w:pPr>
        <w:widowControl w:val="0"/>
        <w:kinsoku/>
        <w:adjustRightInd/>
        <w:snapToGrid/>
        <w:spacing w:line="360" w:lineRule="auto"/>
        <w:ind w:firstLine="552" w:firstLineChars="200"/>
        <w:jc w:val="both"/>
        <w:rPr>
          <w:rFonts w:hint="eastAsia" w:ascii="宋体" w:hAnsi="宋体" w:eastAsia="宋体" w:cs="宋体"/>
          <w:spacing w:val="-2"/>
          <w:sz w:val="28"/>
          <w:szCs w:val="28"/>
          <w:lang w:eastAsia="zh-CN"/>
        </w:rPr>
      </w:pPr>
      <w:r>
        <w:rPr>
          <w:rFonts w:hint="eastAsia" w:ascii="宋体" w:hAnsi="宋体" w:eastAsia="宋体" w:cs="宋体"/>
          <w:spacing w:val="-2"/>
          <w:sz w:val="28"/>
          <w:szCs w:val="28"/>
          <w:lang w:eastAsia="zh-CN"/>
        </w:rPr>
        <w:t>本次利用矿山的正射影像图和土地利用现状图叠合，圈定了矿山各单元的位置及占地范围、面积。该矿山以往矿业活动已造成原生地形地貌景观破坏的主要方式表现为采矿场地、工业场地及矿山道路三个单元，压占总面积为49.09hm</w:t>
      </w:r>
      <w:r>
        <w:rPr>
          <w:rFonts w:hint="eastAsia" w:ascii="宋体" w:hAnsi="宋体" w:eastAsia="宋体" w:cs="宋体"/>
          <w:spacing w:val="-2"/>
          <w:sz w:val="28"/>
          <w:szCs w:val="28"/>
          <w:vertAlign w:val="superscript"/>
          <w:lang w:eastAsia="zh-CN"/>
        </w:rPr>
        <w:t>2</w:t>
      </w:r>
      <w:r>
        <w:rPr>
          <w:rFonts w:hint="eastAsia" w:ascii="宋体" w:hAnsi="宋体" w:eastAsia="宋体" w:cs="宋体"/>
          <w:spacing w:val="-2"/>
          <w:sz w:val="28"/>
          <w:szCs w:val="28"/>
          <w:lang w:eastAsia="zh-CN"/>
        </w:rPr>
        <w:t>。</w:t>
      </w:r>
    </w:p>
    <w:p w14:paraId="2E9D7770">
      <w:pPr>
        <w:widowControl w:val="0"/>
        <w:kinsoku/>
        <w:adjustRightInd/>
        <w:snapToGrid/>
        <w:spacing w:line="360" w:lineRule="auto"/>
        <w:ind w:firstLine="552" w:firstLineChars="200"/>
        <w:jc w:val="both"/>
        <w:rPr>
          <w:rFonts w:hint="eastAsia" w:ascii="宋体" w:hAnsi="宋体" w:eastAsia="宋体" w:cs="宋体"/>
          <w:sz w:val="28"/>
          <w:szCs w:val="28"/>
          <w:lang w:eastAsia="zh-CN"/>
        </w:rPr>
      </w:pPr>
      <w:r>
        <w:rPr>
          <w:rFonts w:hint="eastAsia" w:ascii="宋体" w:hAnsi="宋体" w:eastAsia="宋体" w:cs="宋体"/>
          <w:spacing w:val="-2"/>
          <w:sz w:val="28"/>
          <w:szCs w:val="28"/>
          <w:lang w:eastAsia="zh-CN"/>
        </w:rPr>
        <w:t>工业</w:t>
      </w:r>
      <w:r>
        <w:rPr>
          <w:rFonts w:ascii="宋体" w:hAnsi="宋体" w:eastAsia="宋体" w:cs="宋体"/>
          <w:spacing w:val="-2"/>
          <w:sz w:val="28"/>
          <w:szCs w:val="28"/>
          <w:lang w:eastAsia="zh-CN"/>
        </w:rPr>
        <w:t>场地：</w:t>
      </w:r>
      <w:r>
        <w:rPr>
          <w:rFonts w:hint="eastAsia" w:ascii="宋体" w:hAnsi="宋体" w:cs="宋体"/>
          <w:sz w:val="28"/>
          <w:szCs w:val="28"/>
          <w:lang w:eastAsia="zh-CN"/>
        </w:rPr>
        <w:t>在采矿权北侧</w:t>
      </w:r>
      <w:r>
        <w:rPr>
          <w:rFonts w:hint="eastAsia" w:ascii="宋体" w:hAnsi="宋体" w:cs="宋体"/>
          <w:sz w:val="28"/>
          <w:szCs w:val="28"/>
          <w:lang w:val="en-US" w:eastAsia="zh-CN"/>
        </w:rPr>
        <w:t>30</w:t>
      </w:r>
      <w:r>
        <w:rPr>
          <w:rFonts w:hint="eastAsia" w:ascii="宋体" w:hAnsi="宋体" w:cs="宋体"/>
          <w:sz w:val="28"/>
          <w:szCs w:val="28"/>
          <w:lang w:eastAsia="zh-CN"/>
        </w:rPr>
        <w:t>m处，工业场地</w:t>
      </w:r>
      <w:r>
        <w:rPr>
          <w:rFonts w:hint="eastAsia" w:ascii="宋体" w:hAnsi="宋体" w:eastAsia="宋体" w:cs="宋体"/>
          <w:sz w:val="28"/>
          <w:szCs w:val="28"/>
          <w:lang w:eastAsia="zh-CN"/>
        </w:rPr>
        <w:t>压占</w:t>
      </w:r>
      <w:r>
        <w:rPr>
          <w:rFonts w:hint="eastAsia" w:ascii="宋体" w:hAnsi="宋体" w:cs="宋体"/>
          <w:sz w:val="28"/>
          <w:szCs w:val="28"/>
          <w:lang w:eastAsia="zh-CN"/>
        </w:rPr>
        <w:t>面积</w:t>
      </w:r>
      <w:r>
        <w:rPr>
          <w:rFonts w:hint="eastAsia" w:ascii="宋体" w:hAnsi="宋体" w:eastAsia="宋体" w:cs="宋体"/>
          <w:sz w:val="28"/>
          <w:szCs w:val="28"/>
          <w:lang w:val="en-US" w:eastAsia="zh-CN"/>
        </w:rPr>
        <w:t>4.23</w:t>
      </w:r>
      <w:r>
        <w:rPr>
          <w:rFonts w:hint="eastAsia" w:ascii="宋体" w:hAnsi="宋体" w:eastAsia="宋体" w:cs="宋体"/>
          <w:sz w:val="28"/>
          <w:szCs w:val="28"/>
          <w:lang w:eastAsia="zh-CN"/>
        </w:rPr>
        <w:t>h</w:t>
      </w:r>
      <w:r>
        <w:rPr>
          <w:rFonts w:hint="eastAsia" w:ascii="宋体" w:hAnsi="宋体" w:cs="宋体"/>
          <w:sz w:val="28"/>
          <w:szCs w:val="28"/>
          <w:lang w:eastAsia="zh-CN"/>
        </w:rPr>
        <w:t>m</w:t>
      </w:r>
      <w:r>
        <w:rPr>
          <w:rFonts w:hint="eastAsia" w:ascii="宋体" w:hAnsi="宋体" w:cs="宋体"/>
          <w:sz w:val="28"/>
          <w:szCs w:val="28"/>
          <w:vertAlign w:val="superscript"/>
          <w:lang w:eastAsia="zh-CN"/>
        </w:rPr>
        <w:t>2</w:t>
      </w:r>
      <w:r>
        <w:rPr>
          <w:rFonts w:ascii="宋体" w:hAnsi="宋体" w:eastAsia="宋体" w:cs="宋体"/>
          <w:spacing w:val="2"/>
          <w:sz w:val="28"/>
          <w:szCs w:val="28"/>
          <w:lang w:eastAsia="zh-CN"/>
        </w:rPr>
        <w:t>，其中</w:t>
      </w:r>
      <w:r>
        <w:rPr>
          <w:rFonts w:hint="eastAsia" w:ascii="宋体" w:hAnsi="宋体" w:eastAsia="宋体" w:cs="宋体"/>
          <w:spacing w:val="2"/>
          <w:sz w:val="28"/>
          <w:szCs w:val="28"/>
          <w:lang w:eastAsia="zh-CN"/>
        </w:rPr>
        <w:t>采矿用地</w:t>
      </w:r>
      <w:r>
        <w:rPr>
          <w:rFonts w:hint="eastAsia" w:ascii="宋体" w:hAnsi="宋体" w:eastAsia="宋体" w:cs="宋体"/>
          <w:spacing w:val="2"/>
          <w:sz w:val="28"/>
          <w:szCs w:val="28"/>
          <w:lang w:val="en-US" w:eastAsia="zh-CN"/>
        </w:rPr>
        <w:t>4.23</w:t>
      </w:r>
      <w:r>
        <w:rPr>
          <w:rFonts w:ascii="宋体" w:hAnsi="宋体" w:eastAsia="宋体" w:cs="宋体"/>
          <w:sz w:val="28"/>
          <w:szCs w:val="28"/>
          <w:lang w:eastAsia="zh-CN"/>
        </w:rPr>
        <w:t>hm</w:t>
      </w:r>
      <w:r>
        <w:rPr>
          <w:rFonts w:ascii="宋体" w:hAnsi="宋体" w:eastAsia="宋体" w:cs="宋体"/>
          <w:spacing w:val="1"/>
          <w:position w:val="13"/>
          <w:sz w:val="13"/>
          <w:szCs w:val="13"/>
          <w:lang w:eastAsia="zh-CN"/>
        </w:rPr>
        <w:t>2</w:t>
      </w:r>
      <w:r>
        <w:rPr>
          <w:rFonts w:ascii="宋体" w:hAnsi="宋体" w:eastAsia="宋体" w:cs="宋体"/>
          <w:spacing w:val="-1"/>
          <w:sz w:val="28"/>
          <w:szCs w:val="28"/>
          <w:lang w:eastAsia="zh-CN"/>
        </w:rPr>
        <w:t>。</w:t>
      </w:r>
    </w:p>
    <w:p w14:paraId="6C1F6241">
      <w:pPr>
        <w:spacing w:before="13" w:line="357" w:lineRule="auto"/>
        <w:ind w:right="97" w:firstLine="563"/>
        <w:jc w:val="both"/>
        <w:rPr>
          <w:rFonts w:hint="eastAsia" w:ascii="宋体" w:hAnsi="宋体" w:eastAsia="宋体" w:cs="宋体"/>
          <w:sz w:val="28"/>
          <w:szCs w:val="28"/>
          <w:lang w:eastAsia="zh-CN"/>
        </w:rPr>
      </w:pPr>
      <w:r>
        <w:rPr>
          <w:rFonts w:hint="eastAsia" w:ascii="宋体" w:hAnsi="宋体" w:eastAsia="宋体" w:cs="宋体"/>
          <w:spacing w:val="-1"/>
          <w:sz w:val="28"/>
          <w:szCs w:val="28"/>
          <w:lang w:eastAsia="zh-CN"/>
        </w:rPr>
        <w:t>矿山道路：已修建矿山道路为矿区内部道路，压占面积为0.</w:t>
      </w:r>
      <w:r>
        <w:rPr>
          <w:rFonts w:hint="eastAsia" w:ascii="宋体" w:hAnsi="宋体" w:eastAsia="宋体" w:cs="宋体"/>
          <w:spacing w:val="-1"/>
          <w:sz w:val="28"/>
          <w:szCs w:val="28"/>
          <w:lang w:val="en-US" w:eastAsia="zh-CN"/>
        </w:rPr>
        <w:t>24</w:t>
      </w:r>
      <w:r>
        <w:rPr>
          <w:rFonts w:hint="eastAsia" w:ascii="宋体" w:hAnsi="宋体" w:eastAsia="宋体" w:cs="宋体"/>
          <w:spacing w:val="-1"/>
          <w:sz w:val="28"/>
          <w:szCs w:val="28"/>
          <w:lang w:eastAsia="zh-CN"/>
        </w:rPr>
        <w:t>hm</w:t>
      </w:r>
      <w:r>
        <w:rPr>
          <w:rFonts w:hint="eastAsia" w:ascii="宋体" w:hAnsi="宋体" w:eastAsia="宋体" w:cs="宋体"/>
          <w:spacing w:val="-1"/>
          <w:sz w:val="28"/>
          <w:szCs w:val="28"/>
          <w:vertAlign w:val="superscript"/>
          <w:lang w:eastAsia="zh-CN"/>
        </w:rPr>
        <w:t>2</w:t>
      </w:r>
      <w:r>
        <w:rPr>
          <w:rFonts w:hint="eastAsia" w:ascii="宋体" w:hAnsi="宋体" w:eastAsia="宋体" w:cs="宋体"/>
          <w:spacing w:val="-1"/>
          <w:sz w:val="28"/>
          <w:szCs w:val="28"/>
          <w:lang w:eastAsia="zh-CN"/>
        </w:rPr>
        <w:t>，</w:t>
      </w:r>
      <w:r>
        <w:rPr>
          <w:rFonts w:ascii="宋体" w:hAnsi="宋体" w:eastAsia="宋体" w:cs="宋体"/>
          <w:sz w:val="28"/>
          <w:szCs w:val="28"/>
          <w:lang w:eastAsia="zh-CN"/>
        </w:rPr>
        <w:t>本项目用地范围</w:t>
      </w:r>
      <w:r>
        <w:rPr>
          <w:rFonts w:ascii="宋体" w:hAnsi="宋体" w:eastAsia="宋体" w:cs="宋体"/>
          <w:spacing w:val="-1"/>
          <w:sz w:val="28"/>
          <w:szCs w:val="28"/>
          <w:lang w:eastAsia="zh-CN"/>
        </w:rPr>
        <w:t>内未涉及永久基本农田（表3-6）。</w:t>
      </w:r>
    </w:p>
    <w:p w14:paraId="0B093727">
      <w:pPr>
        <w:jc w:val="center"/>
        <w:rPr>
          <w:rFonts w:hint="eastAsia" w:ascii="宋体" w:hAnsi="宋体" w:eastAsia="宋体" w:cs="宋体"/>
          <w:b/>
          <w:bCs/>
          <w:szCs w:val="24"/>
          <w:lang w:eastAsia="zh-CN"/>
        </w:rPr>
      </w:pPr>
      <w:r>
        <w:rPr>
          <w:rFonts w:hint="eastAsia" w:ascii="宋体" w:hAnsi="宋体" w:eastAsia="宋体" w:cs="宋体"/>
          <w:b/>
          <w:bCs/>
          <w:szCs w:val="24"/>
          <w:lang w:eastAsia="zh-CN"/>
        </w:rPr>
        <w:t>表3-6  矿山损毁土地现状一览表（单位：hm</w:t>
      </w:r>
      <w:r>
        <w:rPr>
          <w:rFonts w:hint="eastAsia" w:ascii="宋体" w:hAnsi="宋体" w:eastAsia="宋体" w:cs="宋体"/>
          <w:b/>
          <w:bCs/>
          <w:szCs w:val="24"/>
          <w:vertAlign w:val="superscript"/>
          <w:lang w:eastAsia="zh-CN"/>
        </w:rPr>
        <w:t>2</w:t>
      </w:r>
      <w:r>
        <w:rPr>
          <w:rFonts w:hint="eastAsia" w:ascii="宋体" w:hAnsi="宋体" w:eastAsia="宋体" w:cs="宋体"/>
          <w:b/>
          <w:bCs/>
          <w:szCs w:val="24"/>
          <w:lang w:eastAsia="zh-CN"/>
        </w:rPr>
        <w:t>）</w:t>
      </w:r>
    </w:p>
    <w:p w14:paraId="7B95770E">
      <w:pPr>
        <w:spacing w:line="40" w:lineRule="exact"/>
        <w:rPr>
          <w:lang w:eastAsia="zh-CN"/>
        </w:rPr>
      </w:pPr>
    </w:p>
    <w:tbl>
      <w:tblPr>
        <w:tblStyle w:val="22"/>
        <w:tblW w:w="81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00"/>
        <w:gridCol w:w="1005"/>
        <w:gridCol w:w="1185"/>
        <w:gridCol w:w="1590"/>
        <w:gridCol w:w="1129"/>
        <w:gridCol w:w="781"/>
        <w:gridCol w:w="636"/>
      </w:tblGrid>
      <w:tr w14:paraId="43734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3" w:hRule="atLeast"/>
          <w:jc w:val="center"/>
        </w:trPr>
        <w:tc>
          <w:tcPr>
            <w:tcW w:w="1800" w:type="dxa"/>
            <w:vAlign w:val="center"/>
          </w:tcPr>
          <w:p w14:paraId="30055484">
            <w:pPr>
              <w:spacing w:before="126" w:line="222" w:lineRule="auto"/>
              <w:jc w:val="center"/>
              <w:rPr>
                <w:rFonts w:hint="eastAsia" w:ascii="宋体" w:hAnsi="宋体" w:eastAsia="宋体" w:cs="宋体"/>
              </w:rPr>
            </w:pPr>
            <w:r>
              <w:rPr>
                <w:rFonts w:hint="eastAsia" w:ascii="宋体" w:hAnsi="宋体" w:eastAsia="宋体" w:cs="宋体"/>
                <w:spacing w:val="-8"/>
              </w:rPr>
              <w:t>权属</w:t>
            </w:r>
          </w:p>
        </w:tc>
        <w:tc>
          <w:tcPr>
            <w:tcW w:w="1005" w:type="dxa"/>
            <w:vAlign w:val="center"/>
          </w:tcPr>
          <w:p w14:paraId="57880C51">
            <w:pPr>
              <w:spacing w:before="126" w:line="224" w:lineRule="auto"/>
              <w:jc w:val="center"/>
              <w:rPr>
                <w:rFonts w:hint="eastAsia" w:ascii="宋体" w:hAnsi="宋体" w:eastAsia="宋体" w:cs="宋体"/>
              </w:rPr>
            </w:pPr>
            <w:r>
              <w:rPr>
                <w:rFonts w:hint="eastAsia" w:ascii="宋体" w:hAnsi="宋体" w:eastAsia="宋体" w:cs="宋体"/>
                <w:spacing w:val="-9"/>
              </w:rPr>
              <w:t>地类</w:t>
            </w:r>
          </w:p>
        </w:tc>
        <w:tc>
          <w:tcPr>
            <w:tcW w:w="1185" w:type="dxa"/>
            <w:vAlign w:val="center"/>
          </w:tcPr>
          <w:p w14:paraId="194D5A64">
            <w:pPr>
              <w:spacing w:before="126" w:line="222" w:lineRule="auto"/>
              <w:jc w:val="center"/>
              <w:rPr>
                <w:rFonts w:hint="eastAsia" w:ascii="宋体" w:hAnsi="宋体" w:eastAsia="宋体" w:cs="宋体"/>
              </w:rPr>
            </w:pPr>
            <w:r>
              <w:rPr>
                <w:rFonts w:hint="eastAsia" w:ascii="宋体" w:hAnsi="宋体" w:eastAsia="宋体" w:cs="宋体"/>
                <w:spacing w:val="-5"/>
                <w:lang w:eastAsia="zh-CN"/>
              </w:rPr>
              <w:t>工业</w:t>
            </w:r>
            <w:r>
              <w:rPr>
                <w:rFonts w:hint="eastAsia" w:ascii="宋体" w:hAnsi="宋体" w:eastAsia="宋体" w:cs="宋体"/>
                <w:spacing w:val="-5"/>
              </w:rPr>
              <w:t>场地</w:t>
            </w:r>
          </w:p>
        </w:tc>
        <w:tc>
          <w:tcPr>
            <w:tcW w:w="1590" w:type="dxa"/>
            <w:vAlign w:val="center"/>
          </w:tcPr>
          <w:p w14:paraId="32530BA0">
            <w:pPr>
              <w:spacing w:before="126" w:line="222" w:lineRule="auto"/>
              <w:jc w:val="center"/>
              <w:rPr>
                <w:rFonts w:hint="eastAsia" w:ascii="宋体" w:hAnsi="宋体" w:eastAsia="宋体" w:cs="宋体"/>
                <w:spacing w:val="-8"/>
                <w:lang w:eastAsia="zh-CN"/>
              </w:rPr>
            </w:pPr>
            <w:r>
              <w:rPr>
                <w:rFonts w:hint="eastAsia" w:ascii="宋体" w:hAnsi="宋体" w:eastAsia="宋体" w:cs="宋体"/>
                <w:spacing w:val="-8"/>
                <w:lang w:eastAsia="zh-CN"/>
              </w:rPr>
              <w:t>采矿场地</w:t>
            </w:r>
          </w:p>
        </w:tc>
        <w:tc>
          <w:tcPr>
            <w:tcW w:w="1129" w:type="dxa"/>
            <w:vAlign w:val="center"/>
          </w:tcPr>
          <w:p w14:paraId="36F1CCF8">
            <w:pPr>
              <w:spacing w:before="126" w:line="222" w:lineRule="auto"/>
              <w:jc w:val="center"/>
              <w:rPr>
                <w:rFonts w:hint="eastAsia" w:ascii="宋体" w:hAnsi="宋体" w:eastAsia="宋体" w:cs="宋体"/>
                <w:lang w:eastAsia="zh-CN"/>
              </w:rPr>
            </w:pPr>
            <w:r>
              <w:rPr>
                <w:rFonts w:hint="eastAsia" w:ascii="宋体" w:hAnsi="宋体" w:eastAsia="宋体" w:cs="宋体"/>
                <w:lang w:eastAsia="zh-CN"/>
              </w:rPr>
              <w:t>矿山道路</w:t>
            </w:r>
          </w:p>
        </w:tc>
        <w:tc>
          <w:tcPr>
            <w:tcW w:w="781" w:type="dxa"/>
            <w:vAlign w:val="center"/>
          </w:tcPr>
          <w:p w14:paraId="755129BF">
            <w:pPr>
              <w:spacing w:before="126" w:line="222" w:lineRule="auto"/>
              <w:jc w:val="center"/>
              <w:rPr>
                <w:rFonts w:hint="eastAsia" w:ascii="宋体" w:hAnsi="宋体" w:eastAsia="宋体" w:cs="宋体"/>
                <w:spacing w:val="-8"/>
              </w:rPr>
            </w:pPr>
            <w:r>
              <w:rPr>
                <w:rFonts w:hint="eastAsia" w:ascii="宋体" w:hAnsi="宋体" w:eastAsia="宋体" w:cs="宋体"/>
                <w:spacing w:val="-8"/>
              </w:rPr>
              <w:t>小计</w:t>
            </w:r>
          </w:p>
        </w:tc>
        <w:tc>
          <w:tcPr>
            <w:tcW w:w="636" w:type="dxa"/>
            <w:vAlign w:val="center"/>
          </w:tcPr>
          <w:p w14:paraId="45BB748E">
            <w:pPr>
              <w:spacing w:before="126" w:line="222" w:lineRule="auto"/>
              <w:jc w:val="center"/>
              <w:rPr>
                <w:rFonts w:hint="eastAsia" w:ascii="宋体" w:hAnsi="宋体" w:eastAsia="宋体" w:cs="宋体"/>
              </w:rPr>
            </w:pPr>
            <w:r>
              <w:rPr>
                <w:rFonts w:hint="eastAsia" w:ascii="宋体" w:hAnsi="宋体" w:eastAsia="宋体" w:cs="宋体"/>
                <w:spacing w:val="-12"/>
              </w:rPr>
              <w:t>合计</w:t>
            </w:r>
          </w:p>
        </w:tc>
      </w:tr>
      <w:tr w14:paraId="05A03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8" w:hRule="atLeast"/>
          <w:jc w:val="center"/>
        </w:trPr>
        <w:tc>
          <w:tcPr>
            <w:tcW w:w="1800" w:type="dxa"/>
            <w:vMerge w:val="restart"/>
            <w:vAlign w:val="center"/>
          </w:tcPr>
          <w:p w14:paraId="37C27DB4">
            <w:pPr>
              <w:spacing w:before="78" w:line="218" w:lineRule="auto"/>
              <w:ind w:right="1"/>
              <w:jc w:val="center"/>
              <w:rPr>
                <w:rFonts w:hint="eastAsia" w:ascii="宋体" w:hAnsi="宋体" w:eastAsia="宋体" w:cs="宋体"/>
                <w:lang w:eastAsia="zh-CN"/>
              </w:rPr>
            </w:pPr>
            <w:r>
              <w:rPr>
                <w:rFonts w:hint="eastAsia" w:ascii="宋体" w:hAnsi="宋体" w:eastAsia="宋体" w:cs="宋体"/>
                <w:spacing w:val="-6"/>
                <w:lang w:eastAsia="zh-CN"/>
              </w:rPr>
              <w:t>海西蒙古族藏族自治州格尔木市郭勒木德镇</w:t>
            </w:r>
          </w:p>
        </w:tc>
        <w:tc>
          <w:tcPr>
            <w:tcW w:w="1005" w:type="dxa"/>
            <w:vAlign w:val="center"/>
          </w:tcPr>
          <w:p w14:paraId="3B5D290C">
            <w:pPr>
              <w:spacing w:before="124" w:line="222" w:lineRule="auto"/>
              <w:jc w:val="center"/>
              <w:rPr>
                <w:rFonts w:hint="eastAsia" w:ascii="宋体" w:hAnsi="宋体" w:eastAsia="宋体" w:cs="宋体"/>
              </w:rPr>
            </w:pPr>
            <w:r>
              <w:rPr>
                <w:rFonts w:hint="eastAsia" w:ascii="宋体" w:hAnsi="宋体" w:eastAsia="宋体" w:cs="宋体"/>
                <w:spacing w:val="-5"/>
                <w:lang w:eastAsia="zh-CN"/>
              </w:rPr>
              <w:t>采矿用地</w:t>
            </w:r>
          </w:p>
        </w:tc>
        <w:tc>
          <w:tcPr>
            <w:tcW w:w="1185" w:type="dxa"/>
            <w:vAlign w:val="center"/>
          </w:tcPr>
          <w:p w14:paraId="7FFC9636">
            <w:pPr>
              <w:spacing w:before="124" w:line="222" w:lineRule="auto"/>
              <w:jc w:val="center"/>
              <w:rPr>
                <w:rFonts w:hint="default" w:ascii="宋体" w:hAnsi="宋体" w:eastAsia="宋体" w:cs="宋体"/>
                <w:lang w:val="en-US" w:eastAsia="zh-CN"/>
              </w:rPr>
            </w:pPr>
            <w:r>
              <w:rPr>
                <w:rFonts w:hint="eastAsia" w:ascii="宋体" w:hAnsi="宋体" w:eastAsia="宋体" w:cs="宋体"/>
                <w:spacing w:val="-5"/>
                <w:lang w:val="en-US" w:eastAsia="zh-CN"/>
              </w:rPr>
              <w:t>4.23</w:t>
            </w:r>
          </w:p>
        </w:tc>
        <w:tc>
          <w:tcPr>
            <w:tcW w:w="1590" w:type="dxa"/>
            <w:vAlign w:val="center"/>
          </w:tcPr>
          <w:p w14:paraId="725E4CEB">
            <w:pPr>
              <w:spacing w:before="124" w:line="222" w:lineRule="auto"/>
              <w:jc w:val="center"/>
              <w:rPr>
                <w:rFonts w:hint="eastAsia" w:ascii="宋体" w:hAnsi="宋体" w:eastAsia="宋体" w:cs="宋体"/>
                <w:b/>
                <w:bCs/>
                <w:spacing w:val="-1"/>
                <w:lang w:eastAsia="zh-CN"/>
              </w:rPr>
            </w:pPr>
            <w:r>
              <w:rPr>
                <w:rFonts w:hint="eastAsia" w:ascii="宋体" w:hAnsi="宋体" w:eastAsia="宋体" w:cs="宋体"/>
                <w:spacing w:val="-5"/>
                <w:lang w:val="en-US" w:eastAsia="zh-CN"/>
              </w:rPr>
              <w:t>/</w:t>
            </w:r>
          </w:p>
        </w:tc>
        <w:tc>
          <w:tcPr>
            <w:tcW w:w="1129" w:type="dxa"/>
            <w:vAlign w:val="center"/>
          </w:tcPr>
          <w:p w14:paraId="26B9B947">
            <w:pPr>
              <w:spacing w:before="124" w:line="222" w:lineRule="auto"/>
              <w:jc w:val="center"/>
              <w:rPr>
                <w:rFonts w:hint="default" w:ascii="宋体" w:hAnsi="宋体" w:eastAsia="宋体" w:cs="宋体"/>
                <w:lang w:val="en-US" w:eastAsia="zh-CN"/>
              </w:rPr>
            </w:pPr>
            <w:r>
              <w:rPr>
                <w:rFonts w:hint="eastAsia" w:ascii="宋体" w:hAnsi="宋体" w:eastAsia="宋体" w:cs="宋体"/>
                <w:spacing w:val="-5"/>
                <w:lang w:val="en-US" w:eastAsia="zh-CN"/>
              </w:rPr>
              <w:t>/</w:t>
            </w:r>
          </w:p>
        </w:tc>
        <w:tc>
          <w:tcPr>
            <w:tcW w:w="781" w:type="dxa"/>
            <w:vAlign w:val="center"/>
          </w:tcPr>
          <w:p w14:paraId="3E058D78">
            <w:pPr>
              <w:spacing w:before="124" w:line="222" w:lineRule="auto"/>
              <w:jc w:val="center"/>
              <w:rPr>
                <w:rFonts w:hint="default" w:ascii="宋体" w:hAnsi="宋体" w:eastAsia="宋体" w:cs="宋体"/>
                <w:b/>
                <w:bCs/>
                <w:spacing w:val="-1"/>
                <w:lang w:val="en-US" w:eastAsia="zh-CN"/>
              </w:rPr>
            </w:pPr>
            <w:r>
              <w:rPr>
                <w:rFonts w:hint="eastAsia" w:ascii="宋体" w:hAnsi="宋体" w:eastAsia="宋体" w:cs="宋体"/>
                <w:spacing w:val="-5"/>
                <w:lang w:val="en-US" w:eastAsia="zh-CN"/>
              </w:rPr>
              <w:t>4.23</w:t>
            </w:r>
          </w:p>
        </w:tc>
        <w:tc>
          <w:tcPr>
            <w:tcW w:w="636" w:type="dxa"/>
            <w:vMerge w:val="restart"/>
            <w:vAlign w:val="center"/>
          </w:tcPr>
          <w:p w14:paraId="761102AB">
            <w:pPr>
              <w:spacing w:before="69" w:line="188" w:lineRule="auto"/>
              <w:jc w:val="center"/>
              <w:rPr>
                <w:rFonts w:hint="eastAsia" w:ascii="宋体" w:hAnsi="宋体" w:eastAsia="宋体" w:cs="宋体"/>
                <w:lang w:eastAsia="zh-CN"/>
              </w:rPr>
            </w:pPr>
            <w:r>
              <w:rPr>
                <w:rFonts w:hint="eastAsia" w:ascii="宋体" w:hAnsi="宋体" w:eastAsia="宋体" w:cs="宋体"/>
                <w:b/>
                <w:bCs/>
                <w:spacing w:val="-1"/>
                <w:lang w:eastAsia="zh-CN"/>
              </w:rPr>
              <w:t>49.09</w:t>
            </w:r>
          </w:p>
        </w:tc>
      </w:tr>
      <w:tr w14:paraId="731CE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3" w:hRule="atLeast"/>
          <w:jc w:val="center"/>
        </w:trPr>
        <w:tc>
          <w:tcPr>
            <w:tcW w:w="1800" w:type="dxa"/>
            <w:vMerge w:val="continue"/>
            <w:vAlign w:val="center"/>
          </w:tcPr>
          <w:p w14:paraId="6F82E444">
            <w:pPr>
              <w:jc w:val="center"/>
              <w:rPr>
                <w:rFonts w:hint="eastAsia" w:ascii="宋体" w:hAnsi="宋体" w:eastAsia="宋体" w:cs="宋体"/>
              </w:rPr>
            </w:pPr>
          </w:p>
        </w:tc>
        <w:tc>
          <w:tcPr>
            <w:tcW w:w="1005" w:type="dxa"/>
            <w:vAlign w:val="center"/>
          </w:tcPr>
          <w:p w14:paraId="0B7BEBCF">
            <w:pPr>
              <w:spacing w:before="124" w:line="222" w:lineRule="auto"/>
              <w:jc w:val="center"/>
              <w:rPr>
                <w:rFonts w:hint="eastAsia" w:ascii="宋体" w:hAnsi="宋体" w:eastAsia="宋体" w:cs="宋体"/>
                <w:lang w:eastAsia="zh-CN"/>
              </w:rPr>
            </w:pPr>
            <w:r>
              <w:rPr>
                <w:rFonts w:hint="eastAsia" w:ascii="宋体" w:hAnsi="宋体" w:eastAsia="宋体" w:cs="宋体"/>
                <w:spacing w:val="-5"/>
                <w:lang w:eastAsia="zh-CN"/>
              </w:rPr>
              <w:t>农村道路</w:t>
            </w:r>
          </w:p>
        </w:tc>
        <w:tc>
          <w:tcPr>
            <w:tcW w:w="1185" w:type="dxa"/>
            <w:vAlign w:val="center"/>
          </w:tcPr>
          <w:p w14:paraId="2C121547">
            <w:pPr>
              <w:spacing w:before="124" w:line="222" w:lineRule="auto"/>
              <w:jc w:val="center"/>
              <w:rPr>
                <w:rFonts w:hint="default" w:ascii="宋体" w:hAnsi="宋体" w:eastAsia="宋体" w:cs="宋体"/>
                <w:spacing w:val="-5"/>
                <w:lang w:val="en-US" w:eastAsia="zh-CN"/>
              </w:rPr>
            </w:pPr>
            <w:r>
              <w:rPr>
                <w:rFonts w:hint="eastAsia" w:ascii="宋体" w:hAnsi="宋体" w:eastAsia="宋体" w:cs="宋体"/>
                <w:spacing w:val="-5"/>
                <w:lang w:val="en-US" w:eastAsia="zh-CN"/>
              </w:rPr>
              <w:t>/</w:t>
            </w:r>
          </w:p>
        </w:tc>
        <w:tc>
          <w:tcPr>
            <w:tcW w:w="1590" w:type="dxa"/>
            <w:vAlign w:val="center"/>
          </w:tcPr>
          <w:p w14:paraId="0DC9A035">
            <w:pPr>
              <w:spacing w:before="124" w:line="222" w:lineRule="auto"/>
              <w:jc w:val="center"/>
              <w:rPr>
                <w:rFonts w:hint="default" w:ascii="宋体" w:hAnsi="宋体" w:eastAsia="宋体" w:cs="宋体"/>
                <w:spacing w:val="-5"/>
                <w:lang w:val="en-US" w:eastAsia="zh-CN"/>
              </w:rPr>
            </w:pPr>
            <w:r>
              <w:rPr>
                <w:rFonts w:hint="eastAsia" w:ascii="宋体" w:hAnsi="宋体" w:eastAsia="宋体" w:cs="宋体"/>
                <w:spacing w:val="-5"/>
                <w:lang w:val="en-US" w:eastAsia="zh-CN"/>
              </w:rPr>
              <w:t>/</w:t>
            </w:r>
          </w:p>
        </w:tc>
        <w:tc>
          <w:tcPr>
            <w:tcW w:w="1129" w:type="dxa"/>
            <w:vAlign w:val="center"/>
          </w:tcPr>
          <w:p w14:paraId="0B13D37E">
            <w:pPr>
              <w:spacing w:before="124" w:line="222" w:lineRule="auto"/>
              <w:jc w:val="center"/>
              <w:rPr>
                <w:rFonts w:hint="default" w:ascii="宋体" w:hAnsi="宋体" w:eastAsia="宋体" w:cs="宋体"/>
                <w:spacing w:val="-5"/>
                <w:lang w:val="en-US" w:eastAsia="zh-CN"/>
              </w:rPr>
            </w:pPr>
            <w:r>
              <w:rPr>
                <w:rFonts w:hint="eastAsia" w:ascii="宋体" w:hAnsi="宋体" w:eastAsia="宋体" w:cs="宋体"/>
                <w:spacing w:val="-5"/>
                <w:lang w:val="en-US" w:eastAsia="zh-CN"/>
              </w:rPr>
              <w:t>0.08</w:t>
            </w:r>
          </w:p>
        </w:tc>
        <w:tc>
          <w:tcPr>
            <w:tcW w:w="781" w:type="dxa"/>
            <w:vAlign w:val="center"/>
          </w:tcPr>
          <w:p w14:paraId="12A55222">
            <w:pPr>
              <w:spacing w:before="124" w:line="222" w:lineRule="auto"/>
              <w:jc w:val="center"/>
              <w:rPr>
                <w:rFonts w:hint="default" w:ascii="宋体" w:hAnsi="宋体" w:eastAsia="宋体" w:cs="宋体"/>
                <w:spacing w:val="-5"/>
                <w:lang w:val="en-US" w:eastAsia="zh-CN"/>
              </w:rPr>
            </w:pPr>
            <w:r>
              <w:rPr>
                <w:rFonts w:hint="eastAsia" w:ascii="宋体" w:hAnsi="宋体" w:eastAsia="宋体" w:cs="宋体"/>
                <w:spacing w:val="-5"/>
                <w:lang w:val="en-US" w:eastAsia="zh-CN"/>
              </w:rPr>
              <w:t>0.08</w:t>
            </w:r>
          </w:p>
        </w:tc>
        <w:tc>
          <w:tcPr>
            <w:tcW w:w="636" w:type="dxa"/>
            <w:vMerge w:val="continue"/>
            <w:vAlign w:val="center"/>
          </w:tcPr>
          <w:p w14:paraId="6B4C8F28">
            <w:pPr>
              <w:jc w:val="center"/>
              <w:rPr>
                <w:rFonts w:hint="eastAsia" w:ascii="宋体" w:hAnsi="宋体" w:eastAsia="宋体" w:cs="宋体"/>
              </w:rPr>
            </w:pPr>
          </w:p>
        </w:tc>
      </w:tr>
      <w:tr w14:paraId="11158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3" w:hRule="atLeast"/>
          <w:jc w:val="center"/>
        </w:trPr>
        <w:tc>
          <w:tcPr>
            <w:tcW w:w="1800" w:type="dxa"/>
            <w:vMerge w:val="continue"/>
            <w:vAlign w:val="center"/>
          </w:tcPr>
          <w:p w14:paraId="11C82CA6">
            <w:pPr>
              <w:jc w:val="center"/>
              <w:rPr>
                <w:rFonts w:hint="eastAsia" w:ascii="宋体" w:hAnsi="宋体" w:eastAsia="宋体" w:cs="宋体"/>
              </w:rPr>
            </w:pPr>
          </w:p>
        </w:tc>
        <w:tc>
          <w:tcPr>
            <w:tcW w:w="1005" w:type="dxa"/>
            <w:vAlign w:val="center"/>
          </w:tcPr>
          <w:p w14:paraId="0D52A660">
            <w:pPr>
              <w:spacing w:before="124" w:line="222" w:lineRule="auto"/>
              <w:jc w:val="center"/>
              <w:rPr>
                <w:rFonts w:hint="eastAsia" w:ascii="宋体" w:hAnsi="宋体" w:eastAsia="宋体" w:cs="宋体"/>
                <w:spacing w:val="-5"/>
                <w:lang w:eastAsia="zh-CN"/>
              </w:rPr>
            </w:pPr>
            <w:r>
              <w:rPr>
                <w:rFonts w:hint="eastAsia" w:ascii="宋体" w:hAnsi="宋体" w:eastAsia="宋体" w:cs="宋体"/>
                <w:spacing w:val="-5"/>
                <w:lang w:eastAsia="zh-CN"/>
              </w:rPr>
              <w:t>沙地</w:t>
            </w:r>
          </w:p>
        </w:tc>
        <w:tc>
          <w:tcPr>
            <w:tcW w:w="1185" w:type="dxa"/>
            <w:vAlign w:val="center"/>
          </w:tcPr>
          <w:p w14:paraId="3528FFCB">
            <w:pPr>
              <w:spacing w:before="124" w:line="222" w:lineRule="auto"/>
              <w:jc w:val="center"/>
              <w:rPr>
                <w:rFonts w:hint="default" w:ascii="宋体" w:hAnsi="宋体" w:eastAsia="宋体" w:cs="宋体"/>
                <w:spacing w:val="-5"/>
                <w:lang w:val="en-US" w:eastAsia="zh-CN"/>
              </w:rPr>
            </w:pPr>
            <w:r>
              <w:rPr>
                <w:rFonts w:hint="eastAsia" w:ascii="宋体" w:hAnsi="宋体" w:eastAsia="宋体" w:cs="宋体"/>
                <w:spacing w:val="-5"/>
                <w:lang w:val="en-US" w:eastAsia="zh-CN"/>
              </w:rPr>
              <w:t>/</w:t>
            </w:r>
          </w:p>
        </w:tc>
        <w:tc>
          <w:tcPr>
            <w:tcW w:w="1590" w:type="dxa"/>
            <w:vAlign w:val="center"/>
          </w:tcPr>
          <w:p w14:paraId="309A5521">
            <w:pPr>
              <w:spacing w:before="124" w:line="222" w:lineRule="auto"/>
              <w:jc w:val="center"/>
              <w:rPr>
                <w:rFonts w:hint="eastAsia" w:ascii="宋体" w:hAnsi="宋体" w:eastAsia="宋体" w:cs="宋体"/>
                <w:spacing w:val="-5"/>
                <w:lang w:eastAsia="zh-CN"/>
              </w:rPr>
            </w:pPr>
          </w:p>
        </w:tc>
        <w:tc>
          <w:tcPr>
            <w:tcW w:w="1129" w:type="dxa"/>
            <w:vAlign w:val="center"/>
          </w:tcPr>
          <w:p w14:paraId="11C0BB76">
            <w:pPr>
              <w:spacing w:before="124" w:line="222" w:lineRule="auto"/>
              <w:jc w:val="center"/>
              <w:rPr>
                <w:rFonts w:hint="default" w:ascii="宋体" w:hAnsi="宋体" w:eastAsia="宋体" w:cs="宋体"/>
                <w:spacing w:val="-5"/>
                <w:lang w:val="en-US" w:eastAsia="zh-CN"/>
              </w:rPr>
            </w:pPr>
            <w:r>
              <w:rPr>
                <w:rFonts w:hint="eastAsia" w:ascii="宋体" w:hAnsi="宋体" w:eastAsia="宋体" w:cs="宋体"/>
                <w:spacing w:val="-5"/>
                <w:lang w:val="en-US" w:eastAsia="zh-CN"/>
              </w:rPr>
              <w:t>0.16</w:t>
            </w:r>
          </w:p>
        </w:tc>
        <w:tc>
          <w:tcPr>
            <w:tcW w:w="781" w:type="dxa"/>
            <w:vAlign w:val="center"/>
          </w:tcPr>
          <w:p w14:paraId="7EDFAF91">
            <w:pPr>
              <w:spacing w:before="124" w:line="222" w:lineRule="auto"/>
              <w:jc w:val="center"/>
              <w:rPr>
                <w:rFonts w:hint="default" w:ascii="宋体" w:hAnsi="宋体" w:eastAsia="宋体" w:cs="宋体"/>
                <w:spacing w:val="-5"/>
                <w:lang w:val="en-US" w:eastAsia="zh-CN"/>
              </w:rPr>
            </w:pPr>
            <w:r>
              <w:rPr>
                <w:rFonts w:hint="eastAsia" w:ascii="宋体" w:hAnsi="宋体" w:eastAsia="宋体" w:cs="宋体"/>
                <w:spacing w:val="-5"/>
                <w:lang w:val="en-US" w:eastAsia="zh-CN"/>
              </w:rPr>
              <w:t>44.78</w:t>
            </w:r>
          </w:p>
        </w:tc>
        <w:tc>
          <w:tcPr>
            <w:tcW w:w="636" w:type="dxa"/>
            <w:vMerge w:val="continue"/>
            <w:vAlign w:val="center"/>
          </w:tcPr>
          <w:p w14:paraId="7D44BF64">
            <w:pPr>
              <w:jc w:val="center"/>
              <w:rPr>
                <w:rFonts w:hint="eastAsia" w:ascii="宋体" w:hAnsi="宋体" w:eastAsia="宋体" w:cs="宋体"/>
              </w:rPr>
            </w:pPr>
          </w:p>
        </w:tc>
      </w:tr>
      <w:tr w14:paraId="0340A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3" w:hRule="atLeast"/>
          <w:jc w:val="center"/>
        </w:trPr>
        <w:tc>
          <w:tcPr>
            <w:tcW w:w="1800" w:type="dxa"/>
            <w:vMerge w:val="continue"/>
            <w:vAlign w:val="center"/>
          </w:tcPr>
          <w:p w14:paraId="0DDAF304">
            <w:pPr>
              <w:jc w:val="center"/>
              <w:rPr>
                <w:rFonts w:hint="eastAsia" w:ascii="宋体" w:hAnsi="宋体" w:eastAsia="宋体" w:cs="宋体"/>
              </w:rPr>
            </w:pPr>
          </w:p>
        </w:tc>
        <w:tc>
          <w:tcPr>
            <w:tcW w:w="1005" w:type="dxa"/>
            <w:vAlign w:val="center"/>
          </w:tcPr>
          <w:p w14:paraId="578BC76B">
            <w:pPr>
              <w:spacing w:before="125" w:line="222" w:lineRule="auto"/>
              <w:jc w:val="center"/>
              <w:rPr>
                <w:rFonts w:hint="eastAsia" w:ascii="宋体" w:hAnsi="宋体" w:eastAsia="宋体" w:cs="宋体"/>
                <w:spacing w:val="-5"/>
                <w:lang w:eastAsia="zh-CN"/>
              </w:rPr>
            </w:pPr>
            <w:r>
              <w:rPr>
                <w:rFonts w:hint="eastAsia" w:ascii="宋体" w:hAnsi="宋体" w:eastAsia="宋体" w:cs="宋体"/>
                <w:b/>
                <w:bCs/>
                <w:spacing w:val="-11"/>
              </w:rPr>
              <w:t>小计</w:t>
            </w:r>
          </w:p>
        </w:tc>
        <w:tc>
          <w:tcPr>
            <w:tcW w:w="1185" w:type="dxa"/>
            <w:vAlign w:val="center"/>
          </w:tcPr>
          <w:p w14:paraId="269A4E54">
            <w:pPr>
              <w:spacing w:before="161" w:line="188" w:lineRule="auto"/>
              <w:jc w:val="center"/>
              <w:rPr>
                <w:rFonts w:hint="eastAsia" w:ascii="宋体" w:hAnsi="宋体" w:eastAsia="宋体" w:cs="宋体"/>
                <w:spacing w:val="-5"/>
                <w:lang w:val="en-US" w:eastAsia="zh-CN"/>
              </w:rPr>
            </w:pPr>
            <w:r>
              <w:rPr>
                <w:rFonts w:hint="eastAsia" w:ascii="宋体" w:hAnsi="宋体" w:eastAsia="宋体" w:cs="宋体"/>
                <w:b/>
                <w:bCs/>
                <w:spacing w:val="-2"/>
                <w:lang w:val="en-US" w:eastAsia="zh-CN"/>
              </w:rPr>
              <w:t>4.23</w:t>
            </w:r>
          </w:p>
        </w:tc>
        <w:tc>
          <w:tcPr>
            <w:tcW w:w="1590" w:type="dxa"/>
            <w:vAlign w:val="center"/>
          </w:tcPr>
          <w:p w14:paraId="7CC49C02">
            <w:pPr>
              <w:spacing w:before="161" w:line="188" w:lineRule="auto"/>
              <w:jc w:val="center"/>
              <w:rPr>
                <w:rFonts w:hint="eastAsia" w:ascii="宋体" w:hAnsi="宋体" w:eastAsia="宋体" w:cs="宋体"/>
                <w:spacing w:val="-5"/>
                <w:lang w:eastAsia="zh-CN"/>
              </w:rPr>
            </w:pPr>
          </w:p>
        </w:tc>
        <w:tc>
          <w:tcPr>
            <w:tcW w:w="1129" w:type="dxa"/>
            <w:vAlign w:val="center"/>
          </w:tcPr>
          <w:p w14:paraId="6DA6C163">
            <w:pPr>
              <w:spacing w:before="161" w:line="188" w:lineRule="auto"/>
              <w:jc w:val="center"/>
              <w:rPr>
                <w:rFonts w:hint="eastAsia" w:ascii="宋体" w:hAnsi="宋体" w:eastAsia="宋体" w:cs="宋体"/>
                <w:spacing w:val="-5"/>
                <w:lang w:val="en-US" w:eastAsia="zh-CN"/>
              </w:rPr>
            </w:pPr>
            <w:r>
              <w:rPr>
                <w:rFonts w:hint="eastAsia" w:ascii="宋体" w:hAnsi="宋体" w:eastAsia="宋体" w:cs="宋体"/>
                <w:b/>
                <w:bCs/>
                <w:spacing w:val="-1"/>
                <w:lang w:val="en-US" w:eastAsia="zh-CN"/>
              </w:rPr>
              <w:t>0.24</w:t>
            </w:r>
          </w:p>
        </w:tc>
        <w:tc>
          <w:tcPr>
            <w:tcW w:w="781" w:type="dxa"/>
            <w:vAlign w:val="center"/>
          </w:tcPr>
          <w:p w14:paraId="194583D5">
            <w:pPr>
              <w:spacing w:before="161" w:line="188" w:lineRule="auto"/>
              <w:jc w:val="center"/>
              <w:rPr>
                <w:rFonts w:hint="eastAsia" w:ascii="宋体" w:hAnsi="宋体" w:eastAsia="宋体" w:cs="宋体"/>
                <w:spacing w:val="-5"/>
                <w:lang w:eastAsia="zh-CN"/>
              </w:rPr>
            </w:pPr>
            <w:r>
              <w:rPr>
                <w:rFonts w:hint="eastAsia" w:ascii="宋体" w:hAnsi="宋体" w:eastAsia="宋体" w:cs="宋体"/>
                <w:b/>
                <w:bCs/>
                <w:spacing w:val="-1"/>
                <w:lang w:eastAsia="zh-CN"/>
              </w:rPr>
              <w:t>49.09</w:t>
            </w:r>
          </w:p>
        </w:tc>
        <w:tc>
          <w:tcPr>
            <w:tcW w:w="636" w:type="dxa"/>
            <w:vMerge w:val="continue"/>
            <w:vAlign w:val="center"/>
          </w:tcPr>
          <w:p w14:paraId="5A798B8B">
            <w:pPr>
              <w:jc w:val="center"/>
              <w:rPr>
                <w:rFonts w:hint="eastAsia" w:ascii="宋体" w:hAnsi="宋体" w:eastAsia="宋体" w:cs="宋体"/>
              </w:rPr>
            </w:pPr>
          </w:p>
        </w:tc>
      </w:tr>
    </w:tbl>
    <w:p w14:paraId="3644E422">
      <w:pPr>
        <w:pStyle w:val="6"/>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bookmarkStart w:id="95" w:name="bookmark90"/>
      <w:bookmarkEnd w:id="95"/>
      <w:bookmarkStart w:id="96" w:name="bookmark89"/>
      <w:bookmarkEnd w:id="96"/>
      <w:r>
        <w:rPr>
          <w:rFonts w:hint="eastAsia" w:ascii="宋体" w:hAnsi="宋体" w:eastAsia="宋体" w:cs="宋体"/>
          <w:spacing w:val="-1"/>
          <w:sz w:val="28"/>
          <w:szCs w:val="28"/>
          <w:lang w:eastAsia="zh-CN"/>
        </w:rPr>
        <w:t>⑸生态系统退化问题</w:t>
      </w:r>
    </w:p>
    <w:p w14:paraId="0BF0C6A5">
      <w:pPr>
        <w:widowControl w:val="0"/>
        <w:kinsoku/>
        <w:adjustRightInd/>
        <w:snapToGrid/>
        <w:spacing w:line="360" w:lineRule="auto"/>
        <w:ind w:firstLine="560" w:firstLineChars="200"/>
        <w:jc w:val="both"/>
        <w:rPr>
          <w:rFonts w:ascii="宋体" w:hAnsi="宋体" w:cs="宋体"/>
          <w:sz w:val="28"/>
          <w:szCs w:val="28"/>
        </w:rPr>
      </w:pPr>
      <w:r>
        <w:rPr>
          <w:rFonts w:hint="eastAsia" w:ascii="宋体" w:hAnsi="宋体" w:cs="宋体"/>
          <w:sz w:val="28"/>
          <w:szCs w:val="28"/>
        </w:rPr>
        <w:t>①植被损毁</w:t>
      </w:r>
    </w:p>
    <w:p w14:paraId="2F0156B3">
      <w:pPr>
        <w:widowControl w:val="0"/>
        <w:kinsoku/>
        <w:adjustRightInd/>
        <w:snapToGrid/>
        <w:spacing w:line="360" w:lineRule="auto"/>
        <w:ind w:firstLine="560" w:firstLineChars="200"/>
        <w:jc w:val="both"/>
        <w:rPr>
          <w:rFonts w:ascii="宋体" w:hAnsi="宋体" w:cs="宋体"/>
          <w:sz w:val="28"/>
          <w:szCs w:val="28"/>
          <w:lang w:eastAsia="zh-CN"/>
        </w:rPr>
      </w:pPr>
      <w:r>
        <w:rPr>
          <w:rFonts w:hint="eastAsia" w:ascii="宋体" w:hAnsi="宋体" w:cs="宋体"/>
          <w:sz w:val="28"/>
          <w:szCs w:val="28"/>
          <w:lang w:eastAsia="zh-CN"/>
        </w:rPr>
        <w:t>现状：工业场地、采矿场地及矿山道路等建设活动直接压占和挖损了采矿用地、农村道路及沙地，总面积为49.09hm</w:t>
      </w:r>
      <w:r>
        <w:rPr>
          <w:rFonts w:hint="eastAsia" w:ascii="宋体" w:hAnsi="宋体" w:cs="宋体"/>
          <w:sz w:val="28"/>
          <w:szCs w:val="28"/>
          <w:vertAlign w:val="superscript"/>
          <w:lang w:eastAsia="zh-CN"/>
        </w:rPr>
        <w:t>2</w:t>
      </w:r>
      <w:r>
        <w:rPr>
          <w:rFonts w:hint="eastAsia" w:ascii="宋体" w:hAnsi="宋体" w:cs="宋体"/>
          <w:sz w:val="28"/>
          <w:szCs w:val="28"/>
          <w:lang w:eastAsia="zh-CN"/>
        </w:rPr>
        <w:t>。</w:t>
      </w:r>
      <w:r>
        <w:rPr>
          <w:rFonts w:hint="eastAsia" w:ascii="宋体" w:hAnsi="宋体" w:eastAsia="Arial" w:cs="宋体"/>
          <w:sz w:val="28"/>
          <w:szCs w:val="28"/>
          <w:lang w:val="en-US" w:eastAsia="zh-CN"/>
        </w:rPr>
        <w:t>矿区</w:t>
      </w:r>
      <w:r>
        <w:rPr>
          <w:rFonts w:hint="eastAsia" w:ascii="宋体" w:hAnsi="宋体" w:eastAsia="Arial" w:cs="宋体"/>
          <w:sz w:val="28"/>
          <w:szCs w:val="28"/>
          <w:lang w:eastAsia="zh-CN"/>
        </w:rPr>
        <w:t>无植</w:t>
      </w:r>
      <w:r>
        <w:rPr>
          <w:rFonts w:hint="eastAsia" w:ascii="宋体" w:hAnsi="宋体" w:cs="宋体"/>
          <w:sz w:val="28"/>
          <w:szCs w:val="28"/>
          <w:lang w:eastAsia="zh-CN"/>
        </w:rPr>
        <w:t>被存在，不存在植被破坏等问题。</w:t>
      </w:r>
    </w:p>
    <w:p w14:paraId="6167D1B0">
      <w:pPr>
        <w:widowControl w:val="0"/>
        <w:kinsoku/>
        <w:adjustRightInd/>
        <w:snapToGrid/>
        <w:spacing w:line="360" w:lineRule="auto"/>
        <w:ind w:firstLine="560" w:firstLineChars="200"/>
        <w:jc w:val="both"/>
        <w:rPr>
          <w:rFonts w:ascii="宋体" w:hAnsi="宋体" w:cs="宋体"/>
          <w:sz w:val="28"/>
          <w:szCs w:val="28"/>
          <w:lang w:eastAsia="zh-CN"/>
        </w:rPr>
      </w:pPr>
      <w:r>
        <w:rPr>
          <w:rFonts w:hint="eastAsia" w:ascii="宋体" w:hAnsi="宋体" w:cs="宋体"/>
          <w:sz w:val="28"/>
          <w:szCs w:val="28"/>
          <w:lang w:eastAsia="zh-CN"/>
        </w:rPr>
        <w:t>②生物多样性丧失</w:t>
      </w:r>
    </w:p>
    <w:p w14:paraId="66E443C6">
      <w:pPr>
        <w:widowControl w:val="0"/>
        <w:kinsoku/>
        <w:adjustRightInd/>
        <w:snapToGrid/>
        <w:spacing w:line="360" w:lineRule="auto"/>
        <w:ind w:firstLine="560" w:firstLineChars="200"/>
        <w:jc w:val="both"/>
        <w:rPr>
          <w:rFonts w:ascii="宋体" w:hAnsi="宋体" w:cs="宋体"/>
          <w:sz w:val="28"/>
          <w:szCs w:val="28"/>
          <w:lang w:eastAsia="zh-CN"/>
        </w:rPr>
      </w:pPr>
      <w:r>
        <w:rPr>
          <w:rFonts w:hint="eastAsia" w:ascii="宋体" w:hAnsi="宋体" w:cs="宋体"/>
          <w:sz w:val="28"/>
          <w:szCs w:val="28"/>
          <w:lang w:eastAsia="zh-CN"/>
        </w:rPr>
        <w:t>现状：因为矿区面积较大，对生物多样性有一定影响。</w:t>
      </w:r>
    </w:p>
    <w:p w14:paraId="5E08DFEA">
      <w:pPr>
        <w:widowControl w:val="0"/>
        <w:kinsoku/>
        <w:adjustRightInd/>
        <w:snapToGrid/>
        <w:spacing w:line="360" w:lineRule="auto"/>
        <w:ind w:firstLine="560" w:firstLineChars="200"/>
        <w:jc w:val="both"/>
        <w:rPr>
          <w:rFonts w:ascii="宋体" w:hAnsi="宋体" w:cs="宋体"/>
          <w:sz w:val="28"/>
          <w:szCs w:val="28"/>
          <w:lang w:eastAsia="zh-CN"/>
        </w:rPr>
      </w:pPr>
      <w:r>
        <w:rPr>
          <w:rFonts w:hint="eastAsia" w:ascii="宋体" w:hAnsi="宋体" w:cs="宋体"/>
          <w:sz w:val="28"/>
          <w:szCs w:val="28"/>
          <w:lang w:eastAsia="zh-CN"/>
        </w:rPr>
        <w:t>成因：直接环境破坏（对应土地压占）、环境污染（大气）、食物链中断、人为干扰加剧等。</w:t>
      </w:r>
    </w:p>
    <w:p w14:paraId="1582FDCF">
      <w:pPr>
        <w:widowControl w:val="0"/>
        <w:kinsoku/>
        <w:adjustRightInd/>
        <w:snapToGrid/>
        <w:spacing w:line="360" w:lineRule="auto"/>
        <w:ind w:firstLine="560" w:firstLineChars="200"/>
        <w:jc w:val="both"/>
        <w:rPr>
          <w:rFonts w:ascii="宋体" w:hAnsi="宋体" w:cs="宋体"/>
          <w:sz w:val="28"/>
          <w:szCs w:val="28"/>
          <w:lang w:eastAsia="zh-CN"/>
        </w:rPr>
      </w:pPr>
      <w:r>
        <w:rPr>
          <w:rFonts w:hint="eastAsia" w:ascii="宋体" w:hAnsi="宋体" w:cs="宋体"/>
          <w:sz w:val="28"/>
          <w:szCs w:val="28"/>
          <w:lang w:eastAsia="zh-CN"/>
        </w:rPr>
        <w:t>影响：生态系统稳定性、抵抗力和恢复力降低，生态服务功能退化，区域生物基因库损失。</w:t>
      </w:r>
    </w:p>
    <w:p w14:paraId="5D4FB3F5">
      <w:pPr>
        <w:widowControl w:val="0"/>
        <w:kinsoku/>
        <w:adjustRightInd/>
        <w:snapToGrid/>
        <w:spacing w:line="360" w:lineRule="auto"/>
        <w:ind w:firstLine="560" w:firstLineChars="200"/>
        <w:jc w:val="both"/>
        <w:rPr>
          <w:rFonts w:ascii="宋体" w:hAnsi="宋体" w:cs="宋体"/>
          <w:sz w:val="28"/>
          <w:szCs w:val="28"/>
          <w:lang w:eastAsia="zh-CN"/>
        </w:rPr>
      </w:pPr>
      <w:r>
        <w:rPr>
          <w:rFonts w:hint="eastAsia" w:ascii="宋体" w:hAnsi="宋体" w:cs="宋体"/>
          <w:sz w:val="28"/>
          <w:szCs w:val="28"/>
          <w:lang w:eastAsia="zh-CN"/>
        </w:rPr>
        <w:t>③地表水系破坏</w:t>
      </w:r>
    </w:p>
    <w:p w14:paraId="55B79BF7">
      <w:pPr>
        <w:widowControl w:val="0"/>
        <w:kinsoku/>
        <w:adjustRightInd/>
        <w:snapToGrid/>
        <w:spacing w:line="360" w:lineRule="auto"/>
        <w:ind w:firstLine="560" w:firstLineChars="200"/>
        <w:jc w:val="both"/>
        <w:rPr>
          <w:rFonts w:ascii="宋体" w:hAnsi="宋体" w:cs="宋体"/>
          <w:sz w:val="28"/>
          <w:szCs w:val="28"/>
          <w:lang w:eastAsia="zh-CN"/>
        </w:rPr>
      </w:pPr>
      <w:r>
        <w:rPr>
          <w:rFonts w:hint="eastAsia" w:ascii="宋体" w:hAnsi="宋体" w:cs="宋体"/>
          <w:sz w:val="28"/>
          <w:szCs w:val="28"/>
          <w:lang w:eastAsia="zh-CN"/>
        </w:rPr>
        <w:t>矿山废水（主要为生活污水）不外排，不会对水土环境产生污染。矿山开采不产生有毒有害废水。矿山废水（主要为生活污水）先经过化粪池沉淀</w:t>
      </w:r>
      <w:bookmarkStart w:id="97" w:name="bookmark258"/>
      <w:bookmarkEnd w:id="97"/>
      <w:r>
        <w:rPr>
          <w:rFonts w:hint="eastAsia" w:ascii="宋体" w:hAnsi="宋体" w:cs="宋体"/>
          <w:sz w:val="28"/>
          <w:szCs w:val="28"/>
          <w:lang w:eastAsia="zh-CN"/>
        </w:rPr>
        <w:t>处理后，再采用小型地埋式一体化污水处理设备进行处理，处理达到《污水综合排放标准》一级标准后排放至附近地表水体，不会对水环境产生污染。</w:t>
      </w:r>
    </w:p>
    <w:p w14:paraId="7FE72406">
      <w:pPr>
        <w:widowControl w:val="0"/>
        <w:kinsoku/>
        <w:adjustRightInd/>
        <w:snapToGrid/>
        <w:spacing w:line="360" w:lineRule="auto"/>
        <w:ind w:firstLine="560" w:firstLineChars="200"/>
        <w:jc w:val="both"/>
        <w:rPr>
          <w:rFonts w:ascii="宋体" w:hAnsi="宋体" w:cs="宋体"/>
          <w:sz w:val="28"/>
          <w:szCs w:val="28"/>
          <w:lang w:eastAsia="zh-CN"/>
        </w:rPr>
      </w:pPr>
      <w:r>
        <w:rPr>
          <w:rFonts w:hint="eastAsia" w:ascii="宋体" w:hAnsi="宋体" w:cs="宋体"/>
          <w:sz w:val="28"/>
          <w:szCs w:val="28"/>
          <w:lang w:eastAsia="zh-CN"/>
        </w:rPr>
        <w:t>矿山周边无污染源，现状条件下，矿山</w:t>
      </w:r>
      <w:r>
        <w:rPr>
          <w:rFonts w:hint="eastAsia" w:ascii="宋体" w:hAnsi="宋体" w:eastAsia="宋体" w:cs="宋体"/>
          <w:sz w:val="28"/>
          <w:szCs w:val="28"/>
          <w:lang w:eastAsia="zh-CN"/>
        </w:rPr>
        <w:t>基建工程</w:t>
      </w:r>
      <w:r>
        <w:rPr>
          <w:rFonts w:hint="eastAsia" w:ascii="宋体" w:hAnsi="宋体" w:cs="宋体"/>
          <w:sz w:val="28"/>
          <w:szCs w:val="28"/>
          <w:lang w:eastAsia="zh-CN"/>
        </w:rPr>
        <w:t>对水环境污染及影响较轻。</w:t>
      </w:r>
    </w:p>
    <w:p w14:paraId="615DFD74">
      <w:pPr>
        <w:spacing w:line="356" w:lineRule="auto"/>
        <w:ind w:firstLine="559"/>
        <w:jc w:val="both"/>
        <w:rPr>
          <w:rFonts w:ascii="宋体" w:hAnsi="宋体" w:cs="宋体"/>
          <w:sz w:val="28"/>
          <w:szCs w:val="28"/>
          <w:lang w:eastAsia="zh-CN"/>
        </w:rPr>
      </w:pPr>
      <w:r>
        <w:rPr>
          <w:rFonts w:hint="eastAsia" w:ascii="宋体" w:hAnsi="宋体" w:cs="宋体"/>
          <w:sz w:val="28"/>
          <w:szCs w:val="28"/>
          <w:lang w:eastAsia="zh-CN"/>
        </w:rPr>
        <w:t>④土壤污染</w:t>
      </w:r>
    </w:p>
    <w:p w14:paraId="6DD12DF8">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根据《青海省格尔木市茶格高速南建筑用砂2#矿地质简测报告》中对矿石样品化学分析结果显示：卵石、砾石、砂石、粉砂及少量亚砂土组成，具水平韵律。其中，卵石约占52.4%，砾石约占35.88%、砂及粘土等约占11.9%。砂石成份复杂，主要由石英岩、花岗闪长岩、片麻岩等组成，矿石本身不含有毒有害元素，矿山基建及前期开采过程中，未对当地的土壤造成污染。</w:t>
      </w:r>
    </w:p>
    <w:p w14:paraId="0CDD7357">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⑤地下水污染</w:t>
      </w:r>
    </w:p>
    <w:p w14:paraId="269E87FB">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对于本项目所涉及建筑用砂矿区，前期基建过程及开采过程中产生的水量较少，有少量生活污水就地排放及生产废水经沉淀池过滤后用来再生产或者矿区的绿化，多余的废水经处理，达标后再利用，再加上矿区没有地面径流或湖泊，因此前期未对矿区水环境造成污染。</w:t>
      </w:r>
    </w:p>
    <w:p w14:paraId="2AD36494">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98" w:name="bookmark92"/>
      <w:bookmarkEnd w:id="98"/>
      <w:bookmarkStart w:id="99" w:name="bookmark91"/>
      <w:bookmarkEnd w:id="99"/>
      <w:bookmarkStart w:id="100" w:name="_Toc16252"/>
      <w:r>
        <w:rPr>
          <w:rFonts w:hint="eastAsia" w:ascii="宋体" w:hAnsi="宋体" w:eastAsia="宋体" w:cs="宋体"/>
          <w:sz w:val="28"/>
          <w:szCs w:val="28"/>
          <w:lang w:eastAsia="zh-CN"/>
        </w:rPr>
        <w:t>（二）受损预测情况</w:t>
      </w:r>
      <w:bookmarkEnd w:id="100"/>
    </w:p>
    <w:p w14:paraId="0AC644AE">
      <w:pPr>
        <w:pStyle w:val="6"/>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bookmarkStart w:id="101" w:name="bookmark93"/>
      <w:bookmarkEnd w:id="101"/>
      <w:bookmarkStart w:id="102" w:name="bookmark94"/>
      <w:bookmarkEnd w:id="102"/>
      <w:r>
        <w:rPr>
          <w:rFonts w:hint="eastAsia" w:ascii="宋体" w:hAnsi="宋体" w:eastAsia="宋体" w:cs="宋体"/>
          <w:spacing w:val="-1"/>
          <w:sz w:val="28"/>
          <w:szCs w:val="28"/>
          <w:lang w:eastAsia="zh-CN"/>
        </w:rPr>
        <w:t>1、土地损毁环节与时序</w:t>
      </w:r>
    </w:p>
    <w:p w14:paraId="7345828D">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根据现场调查和开采方案，矿区土地损毁形式主要为挖损和压占两种类型。主要损毁环节为现状和生产期。</w:t>
      </w:r>
    </w:p>
    <w:p w14:paraId="4CAE5608">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矿山现状：在矿权范围周边及范围内以往进行基建和采矿活动，对土地造成破坏；工业场地修建于</w:t>
      </w:r>
      <w:r>
        <w:rPr>
          <w:rFonts w:hint="eastAsia" w:ascii="宋体" w:hAnsi="宋体" w:cs="宋体"/>
          <w:sz w:val="28"/>
          <w:szCs w:val="28"/>
          <w:lang w:eastAsia="zh-CN"/>
        </w:rPr>
        <w:t>采矿权北侧约</w:t>
      </w:r>
      <w:r>
        <w:rPr>
          <w:rFonts w:hint="eastAsia" w:ascii="宋体" w:hAnsi="宋体" w:cs="宋体"/>
          <w:sz w:val="28"/>
          <w:szCs w:val="28"/>
          <w:lang w:val="en-US" w:eastAsia="zh-CN"/>
        </w:rPr>
        <w:t>30</w:t>
      </w:r>
      <w:r>
        <w:rPr>
          <w:rFonts w:hint="eastAsia" w:ascii="宋体" w:hAnsi="宋体" w:cs="宋体"/>
          <w:sz w:val="28"/>
          <w:szCs w:val="28"/>
          <w:lang w:eastAsia="zh-CN"/>
        </w:rPr>
        <w:t>m处</w:t>
      </w:r>
      <w:r>
        <w:rPr>
          <w:rFonts w:ascii="宋体" w:hAnsi="宋体" w:eastAsia="宋体" w:cs="宋体"/>
          <w:spacing w:val="2"/>
          <w:sz w:val="28"/>
          <w:szCs w:val="28"/>
          <w:lang w:eastAsia="zh-CN"/>
        </w:rPr>
        <w:t>，</w:t>
      </w:r>
      <w:r>
        <w:rPr>
          <w:rFonts w:hint="eastAsia" w:ascii="宋体" w:hAnsi="宋体" w:eastAsia="宋体" w:cs="宋体"/>
          <w:sz w:val="28"/>
          <w:szCs w:val="28"/>
          <w:lang w:eastAsia="zh-CN"/>
        </w:rPr>
        <w:t>破坏原有的地形地貌，同时对土地造成压占破坏，面积为</w:t>
      </w:r>
      <w:r>
        <w:rPr>
          <w:rFonts w:hint="eastAsia" w:ascii="宋体" w:hAnsi="宋体" w:eastAsia="宋体" w:cs="宋体"/>
          <w:sz w:val="28"/>
          <w:szCs w:val="28"/>
          <w:lang w:val="en-US" w:eastAsia="zh-CN"/>
        </w:rPr>
        <w:t>4.23</w:t>
      </w:r>
      <w:r>
        <w:rPr>
          <w:rFonts w:hint="eastAsia" w:ascii="宋体" w:hAnsi="宋体" w:eastAsia="宋体" w:cs="宋体"/>
          <w:sz w:val="28"/>
          <w:szCs w:val="28"/>
          <w:lang w:eastAsia="zh-CN"/>
        </w:rPr>
        <w:t>h</w:t>
      </w:r>
      <w:r>
        <w:rPr>
          <w:rFonts w:hint="eastAsia" w:ascii="宋体" w:hAnsi="宋体" w:cs="宋体"/>
          <w:sz w:val="28"/>
          <w:szCs w:val="28"/>
          <w:lang w:eastAsia="zh-CN"/>
        </w:rPr>
        <w:t>m</w:t>
      </w:r>
      <w:r>
        <w:rPr>
          <w:rFonts w:hint="eastAsia" w:ascii="宋体" w:hAnsi="宋体" w:cs="宋体"/>
          <w:sz w:val="28"/>
          <w:szCs w:val="28"/>
          <w:vertAlign w:val="superscript"/>
          <w:lang w:eastAsia="zh-CN"/>
        </w:rPr>
        <w:t>2</w:t>
      </w:r>
      <w:r>
        <w:rPr>
          <w:rFonts w:hint="eastAsia" w:ascii="宋体" w:hAnsi="宋体" w:eastAsia="宋体" w:cs="宋体"/>
          <w:sz w:val="28"/>
          <w:szCs w:val="28"/>
          <w:lang w:eastAsia="zh-CN"/>
        </w:rPr>
        <w:t>；采矿场地前期开采时，破坏原有的地形地貌，同时对土地造成挖损破坏，面积为</w:t>
      </w:r>
      <w:r>
        <w:rPr>
          <w:rFonts w:hint="eastAsia" w:ascii="宋体" w:hAnsi="宋体" w:eastAsia="宋体" w:cs="宋体"/>
          <w:sz w:val="28"/>
          <w:szCs w:val="28"/>
          <w:lang w:val="en-US" w:eastAsia="zh-CN"/>
        </w:rPr>
        <w:t>44.62</w:t>
      </w:r>
      <w:r>
        <w:rPr>
          <w:rFonts w:hint="eastAsia" w:ascii="宋体" w:hAnsi="宋体" w:eastAsia="宋体" w:cs="宋体"/>
          <w:sz w:val="28"/>
          <w:szCs w:val="28"/>
          <w:lang w:eastAsia="zh-CN"/>
        </w:rPr>
        <w:t>h</w:t>
      </w:r>
      <w:r>
        <w:rPr>
          <w:rFonts w:hint="eastAsia" w:ascii="宋体" w:hAnsi="宋体" w:cs="宋体"/>
          <w:sz w:val="28"/>
          <w:szCs w:val="28"/>
          <w:lang w:eastAsia="zh-CN"/>
        </w:rPr>
        <w:t>m</w:t>
      </w:r>
      <w:r>
        <w:rPr>
          <w:rFonts w:hint="eastAsia" w:ascii="宋体" w:hAnsi="宋体" w:cs="宋体"/>
          <w:sz w:val="28"/>
          <w:szCs w:val="28"/>
          <w:vertAlign w:val="superscript"/>
          <w:lang w:eastAsia="zh-CN"/>
        </w:rPr>
        <w:t>2</w:t>
      </w:r>
      <w:r>
        <w:rPr>
          <w:rFonts w:hint="eastAsia" w:ascii="宋体" w:hAnsi="宋体" w:eastAsia="宋体" w:cs="宋体"/>
          <w:sz w:val="28"/>
          <w:szCs w:val="28"/>
          <w:lang w:eastAsia="zh-CN"/>
        </w:rPr>
        <w:t>，矿山道路破坏原有的地形地貌，同时对土地造成压占破坏，面积为</w:t>
      </w:r>
      <w:r>
        <w:rPr>
          <w:rFonts w:hint="eastAsia" w:ascii="宋体" w:hAnsi="宋体" w:eastAsia="宋体" w:cs="宋体"/>
          <w:sz w:val="28"/>
          <w:szCs w:val="28"/>
          <w:lang w:val="en-US" w:eastAsia="zh-CN"/>
        </w:rPr>
        <w:t>0.24</w:t>
      </w:r>
      <w:r>
        <w:rPr>
          <w:rFonts w:hint="eastAsia" w:ascii="宋体" w:hAnsi="宋体" w:eastAsia="宋体" w:cs="宋体"/>
          <w:sz w:val="28"/>
          <w:szCs w:val="28"/>
          <w:lang w:eastAsia="zh-CN"/>
        </w:rPr>
        <w:t>h</w:t>
      </w:r>
      <w:r>
        <w:rPr>
          <w:rFonts w:hint="eastAsia" w:ascii="宋体" w:hAnsi="宋体" w:cs="宋体"/>
          <w:sz w:val="28"/>
          <w:szCs w:val="28"/>
          <w:lang w:eastAsia="zh-CN"/>
        </w:rPr>
        <w:t>m</w:t>
      </w:r>
      <w:r>
        <w:rPr>
          <w:rFonts w:hint="eastAsia" w:ascii="宋体" w:hAnsi="宋体" w:cs="宋体"/>
          <w:sz w:val="28"/>
          <w:szCs w:val="28"/>
          <w:vertAlign w:val="superscript"/>
          <w:lang w:eastAsia="zh-CN"/>
        </w:rPr>
        <w:t>2</w:t>
      </w:r>
      <w:r>
        <w:rPr>
          <w:rFonts w:hint="eastAsia" w:ascii="宋体" w:hAnsi="宋体" w:eastAsia="宋体" w:cs="宋体"/>
          <w:sz w:val="28"/>
          <w:szCs w:val="28"/>
          <w:lang w:eastAsia="zh-CN"/>
        </w:rPr>
        <w:t>。</w:t>
      </w:r>
    </w:p>
    <w:p w14:paraId="414DD2C2">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生产期：未来生产期主要是对矿权范围内进行采矿工程，将对矿区土地造成破坏，预测后期采矿场地开采过程中，将破坏原有的地形地貌，同时对土地造成挖损破坏，面积为</w:t>
      </w:r>
      <w:r>
        <w:rPr>
          <w:rFonts w:hint="eastAsia" w:ascii="宋体" w:hAnsi="宋体" w:eastAsia="宋体" w:cs="宋体"/>
          <w:color w:val="auto"/>
          <w:sz w:val="28"/>
          <w:szCs w:val="28"/>
          <w:lang w:val="en-US" w:eastAsia="zh-CN"/>
        </w:rPr>
        <w:t>55.38</w:t>
      </w:r>
      <w:r>
        <w:rPr>
          <w:rFonts w:hint="eastAsia" w:ascii="宋体" w:hAnsi="宋体" w:eastAsia="宋体" w:cs="宋体"/>
          <w:sz w:val="28"/>
          <w:szCs w:val="28"/>
          <w:lang w:eastAsia="zh-CN"/>
        </w:rPr>
        <w:t>h</w:t>
      </w:r>
      <w:r>
        <w:rPr>
          <w:rFonts w:hint="eastAsia" w:ascii="宋体" w:hAnsi="宋体" w:cs="宋体"/>
          <w:sz w:val="28"/>
          <w:szCs w:val="28"/>
          <w:lang w:eastAsia="zh-CN"/>
        </w:rPr>
        <w:t>m</w:t>
      </w:r>
      <w:r>
        <w:rPr>
          <w:rFonts w:hint="eastAsia" w:ascii="宋体" w:hAnsi="宋体" w:cs="宋体"/>
          <w:sz w:val="28"/>
          <w:szCs w:val="28"/>
          <w:vertAlign w:val="superscript"/>
          <w:lang w:eastAsia="zh-CN"/>
        </w:rPr>
        <w:t>2</w:t>
      </w:r>
      <w:r>
        <w:rPr>
          <w:rFonts w:hint="eastAsia" w:ascii="宋体" w:hAnsi="宋体" w:eastAsia="宋体" w:cs="宋体"/>
          <w:sz w:val="28"/>
          <w:szCs w:val="28"/>
          <w:lang w:eastAsia="zh-CN"/>
        </w:rPr>
        <w:t>。</w:t>
      </w:r>
    </w:p>
    <w:p w14:paraId="04A90806">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土地损毁时序：20</w:t>
      </w:r>
      <w:r>
        <w:rPr>
          <w:rFonts w:hint="eastAsia" w:ascii="宋体" w:hAnsi="宋体" w:eastAsia="宋体" w:cs="宋体"/>
          <w:sz w:val="28"/>
          <w:szCs w:val="28"/>
          <w:lang w:val="en-US" w:eastAsia="zh-CN"/>
        </w:rPr>
        <w:t>21</w:t>
      </w:r>
      <w:r>
        <w:rPr>
          <w:rFonts w:hint="eastAsia" w:ascii="宋体" w:hAnsi="宋体" w:eastAsia="宋体" w:cs="宋体"/>
          <w:sz w:val="28"/>
          <w:szCs w:val="28"/>
          <w:lang w:eastAsia="zh-CN"/>
        </w:rPr>
        <w:t>年</w:t>
      </w:r>
      <w:r>
        <w:rPr>
          <w:rFonts w:hint="eastAsia" w:ascii="宋体" w:hAnsi="宋体" w:eastAsia="宋体" w:cs="宋体"/>
          <w:sz w:val="28"/>
          <w:szCs w:val="28"/>
          <w:lang w:val="en-US" w:eastAsia="zh-CN"/>
        </w:rPr>
        <w:t>9</w:t>
      </w:r>
      <w:r>
        <w:rPr>
          <w:rFonts w:hint="eastAsia" w:ascii="宋体" w:hAnsi="宋体" w:eastAsia="宋体" w:cs="宋体"/>
          <w:sz w:val="28"/>
          <w:szCs w:val="28"/>
          <w:lang w:eastAsia="zh-CN"/>
        </w:rPr>
        <w:t>月至20</w:t>
      </w:r>
      <w:r>
        <w:rPr>
          <w:rFonts w:hint="eastAsia" w:ascii="宋体" w:hAnsi="宋体" w:eastAsia="宋体" w:cs="宋体"/>
          <w:sz w:val="28"/>
          <w:szCs w:val="28"/>
          <w:lang w:val="en-US" w:eastAsia="zh-CN"/>
        </w:rPr>
        <w:t>29</w:t>
      </w:r>
      <w:r>
        <w:rPr>
          <w:rFonts w:hint="eastAsia" w:ascii="宋体" w:hAnsi="宋体" w:eastAsia="宋体" w:cs="宋体"/>
          <w:sz w:val="28"/>
          <w:szCs w:val="28"/>
          <w:lang w:eastAsia="zh-CN"/>
        </w:rPr>
        <w:t>年</w:t>
      </w:r>
      <w:r>
        <w:rPr>
          <w:rFonts w:hint="eastAsia" w:ascii="宋体" w:hAnsi="宋体" w:eastAsia="宋体" w:cs="宋体"/>
          <w:sz w:val="28"/>
          <w:szCs w:val="28"/>
          <w:lang w:val="en-US" w:eastAsia="zh-CN"/>
        </w:rPr>
        <w:t>6</w:t>
      </w:r>
      <w:r>
        <w:rPr>
          <w:rFonts w:hint="eastAsia" w:ascii="宋体" w:hAnsi="宋体" w:eastAsia="宋体" w:cs="宋体"/>
          <w:sz w:val="28"/>
          <w:szCs w:val="28"/>
          <w:lang w:eastAsia="zh-CN"/>
        </w:rPr>
        <w:t>月（各时期损毁时序及面积表3-7）。</w:t>
      </w:r>
    </w:p>
    <w:p w14:paraId="63A58B52">
      <w:pPr>
        <w:jc w:val="center"/>
        <w:rPr>
          <w:rFonts w:hint="eastAsia" w:ascii="宋体" w:hAnsi="宋体" w:eastAsia="宋体" w:cs="宋体"/>
          <w:b/>
          <w:bCs/>
          <w:szCs w:val="24"/>
        </w:rPr>
      </w:pPr>
      <w:r>
        <w:rPr>
          <w:rFonts w:hint="eastAsia" w:ascii="宋体" w:hAnsi="宋体" w:eastAsia="宋体" w:cs="宋体"/>
          <w:b/>
          <w:bCs/>
          <w:szCs w:val="24"/>
        </w:rPr>
        <w:t>表3-7</w:t>
      </w:r>
      <w:r>
        <w:rPr>
          <w:rFonts w:hint="eastAsia" w:ascii="宋体" w:hAnsi="宋体" w:eastAsia="宋体" w:cs="宋体"/>
          <w:b/>
          <w:bCs/>
          <w:szCs w:val="24"/>
          <w:lang w:eastAsia="zh-CN"/>
        </w:rPr>
        <w:t xml:space="preserve">  </w:t>
      </w:r>
      <w:r>
        <w:rPr>
          <w:rFonts w:hint="eastAsia" w:ascii="宋体" w:hAnsi="宋体" w:eastAsia="宋体" w:cs="宋体"/>
          <w:b/>
          <w:bCs/>
          <w:szCs w:val="24"/>
        </w:rPr>
        <w:t>矿山建设损毁时序表</w:t>
      </w:r>
    </w:p>
    <w:tbl>
      <w:tblPr>
        <w:tblStyle w:val="22"/>
        <w:tblW w:w="792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9"/>
        <w:gridCol w:w="1154"/>
        <w:gridCol w:w="1394"/>
        <w:gridCol w:w="1625"/>
        <w:gridCol w:w="1623"/>
        <w:gridCol w:w="750"/>
        <w:gridCol w:w="690"/>
      </w:tblGrid>
      <w:tr w14:paraId="70C49A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jc w:val="center"/>
        </w:trPr>
        <w:tc>
          <w:tcPr>
            <w:tcW w:w="689" w:type="dxa"/>
            <w:vAlign w:val="center"/>
          </w:tcPr>
          <w:p w14:paraId="60DEAB05">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4"/>
                <w:sz w:val="21"/>
                <w:szCs w:val="21"/>
              </w:rPr>
              <w:t>序号</w:t>
            </w:r>
          </w:p>
        </w:tc>
        <w:tc>
          <w:tcPr>
            <w:tcW w:w="1154" w:type="dxa"/>
            <w:vAlign w:val="center"/>
          </w:tcPr>
          <w:p w14:paraId="5953BDAD">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4"/>
                <w:sz w:val="21"/>
                <w:szCs w:val="21"/>
              </w:rPr>
              <w:t>名称</w:t>
            </w:r>
          </w:p>
        </w:tc>
        <w:tc>
          <w:tcPr>
            <w:tcW w:w="1394" w:type="dxa"/>
            <w:vAlign w:val="center"/>
          </w:tcPr>
          <w:p w14:paraId="7CA06E09">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0"/>
                <w:sz w:val="21"/>
                <w:szCs w:val="21"/>
              </w:rPr>
              <w:t>损毁土地形式</w:t>
            </w:r>
          </w:p>
        </w:tc>
        <w:tc>
          <w:tcPr>
            <w:tcW w:w="1625" w:type="dxa"/>
            <w:vAlign w:val="center"/>
          </w:tcPr>
          <w:p w14:paraId="31AA4775">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10"/>
                <w:position w:val="1"/>
                <w:sz w:val="21"/>
                <w:szCs w:val="21"/>
              </w:rPr>
              <w:t>现状损毁（</w:t>
            </w:r>
            <w:r>
              <w:rPr>
                <w:rFonts w:hint="eastAsia" w:asciiTheme="majorEastAsia" w:hAnsiTheme="majorEastAsia" w:eastAsiaTheme="majorEastAsia" w:cstheme="majorEastAsia"/>
                <w:position w:val="1"/>
                <w:sz w:val="21"/>
                <w:szCs w:val="21"/>
              </w:rPr>
              <w:t>hm</w:t>
            </w:r>
            <w:r>
              <w:rPr>
                <w:rFonts w:hint="eastAsia" w:asciiTheme="majorEastAsia" w:hAnsiTheme="majorEastAsia" w:eastAsiaTheme="majorEastAsia" w:cstheme="majorEastAsia"/>
                <w:sz w:val="21"/>
                <w:szCs w:val="21"/>
                <w:vertAlign w:val="superscript"/>
                <w:lang w:eastAsia="zh-CN"/>
              </w:rPr>
              <w:t>2</w:t>
            </w:r>
            <w:r>
              <w:rPr>
                <w:rFonts w:hint="eastAsia" w:asciiTheme="majorEastAsia" w:hAnsiTheme="majorEastAsia" w:eastAsiaTheme="majorEastAsia" w:cstheme="majorEastAsia"/>
                <w:spacing w:val="10"/>
                <w:position w:val="1"/>
                <w:sz w:val="21"/>
                <w:szCs w:val="21"/>
              </w:rPr>
              <w:t>）</w:t>
            </w:r>
          </w:p>
        </w:tc>
        <w:tc>
          <w:tcPr>
            <w:tcW w:w="1623" w:type="dxa"/>
            <w:vAlign w:val="center"/>
          </w:tcPr>
          <w:p w14:paraId="6C841477">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pacing w:val="11"/>
                <w:sz w:val="21"/>
                <w:szCs w:val="21"/>
                <w:lang w:eastAsia="zh-CN"/>
              </w:rPr>
              <w:t>生产期损</w:t>
            </w:r>
            <w:r>
              <w:rPr>
                <w:rFonts w:hint="eastAsia" w:asciiTheme="majorEastAsia" w:hAnsiTheme="majorEastAsia" w:eastAsiaTheme="majorEastAsia" w:cstheme="majorEastAsia"/>
                <w:spacing w:val="10"/>
                <w:sz w:val="21"/>
                <w:szCs w:val="21"/>
                <w:lang w:eastAsia="zh-CN"/>
              </w:rPr>
              <w:t>毁面积（</w:t>
            </w:r>
            <w:r>
              <w:rPr>
                <w:rFonts w:hint="eastAsia" w:asciiTheme="majorEastAsia" w:hAnsiTheme="majorEastAsia" w:eastAsiaTheme="majorEastAsia" w:cstheme="majorEastAsia"/>
                <w:sz w:val="21"/>
                <w:szCs w:val="21"/>
                <w:lang w:eastAsia="zh-CN"/>
              </w:rPr>
              <w:t>hm</w:t>
            </w:r>
            <w:r>
              <w:rPr>
                <w:rFonts w:hint="eastAsia" w:asciiTheme="majorEastAsia" w:hAnsiTheme="majorEastAsia" w:eastAsiaTheme="majorEastAsia" w:cstheme="majorEastAsia"/>
                <w:sz w:val="21"/>
                <w:szCs w:val="21"/>
                <w:vertAlign w:val="superscript"/>
                <w:lang w:eastAsia="zh-CN"/>
              </w:rPr>
              <w:t>2</w:t>
            </w:r>
            <w:r>
              <w:rPr>
                <w:rFonts w:hint="eastAsia" w:asciiTheme="majorEastAsia" w:hAnsiTheme="majorEastAsia" w:eastAsiaTheme="majorEastAsia" w:cstheme="majorEastAsia"/>
                <w:spacing w:val="10"/>
                <w:sz w:val="21"/>
                <w:szCs w:val="21"/>
                <w:lang w:eastAsia="zh-CN"/>
              </w:rPr>
              <w:t>）</w:t>
            </w:r>
          </w:p>
        </w:tc>
        <w:tc>
          <w:tcPr>
            <w:tcW w:w="750" w:type="dxa"/>
            <w:vAlign w:val="center"/>
          </w:tcPr>
          <w:p w14:paraId="22120594">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4"/>
                <w:sz w:val="21"/>
                <w:szCs w:val="21"/>
              </w:rPr>
              <w:t>小计</w:t>
            </w:r>
            <w:r>
              <w:rPr>
                <w:rFonts w:hint="eastAsia" w:asciiTheme="majorEastAsia" w:hAnsiTheme="majorEastAsia" w:eastAsiaTheme="majorEastAsia" w:cstheme="majorEastAsia"/>
                <w:spacing w:val="3"/>
                <w:sz w:val="21"/>
                <w:szCs w:val="21"/>
              </w:rPr>
              <w:t>（</w:t>
            </w:r>
            <w:r>
              <w:rPr>
                <w:rFonts w:hint="eastAsia" w:asciiTheme="majorEastAsia" w:hAnsiTheme="majorEastAsia" w:eastAsiaTheme="majorEastAsia" w:cstheme="majorEastAsia"/>
                <w:sz w:val="21"/>
                <w:szCs w:val="21"/>
              </w:rPr>
              <w:t>hm</w:t>
            </w:r>
            <w:r>
              <w:rPr>
                <w:rFonts w:hint="eastAsia" w:asciiTheme="majorEastAsia" w:hAnsiTheme="majorEastAsia" w:eastAsiaTheme="majorEastAsia" w:cstheme="majorEastAsia"/>
                <w:sz w:val="21"/>
                <w:szCs w:val="21"/>
                <w:vertAlign w:val="superscript"/>
                <w:lang w:eastAsia="zh-CN"/>
              </w:rPr>
              <w:t>2</w:t>
            </w:r>
            <w:r>
              <w:rPr>
                <w:rFonts w:hint="eastAsia" w:asciiTheme="majorEastAsia" w:hAnsiTheme="majorEastAsia" w:eastAsiaTheme="majorEastAsia" w:cstheme="majorEastAsia"/>
                <w:spacing w:val="3"/>
                <w:sz w:val="21"/>
                <w:szCs w:val="21"/>
              </w:rPr>
              <w:t>）</w:t>
            </w:r>
          </w:p>
        </w:tc>
        <w:tc>
          <w:tcPr>
            <w:tcW w:w="690" w:type="dxa"/>
            <w:vAlign w:val="center"/>
          </w:tcPr>
          <w:p w14:paraId="286CCB6B">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4"/>
                <w:sz w:val="21"/>
                <w:szCs w:val="21"/>
              </w:rPr>
              <w:t>备注</w:t>
            </w:r>
          </w:p>
        </w:tc>
      </w:tr>
      <w:tr w14:paraId="024E2E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jc w:val="center"/>
        </w:trPr>
        <w:tc>
          <w:tcPr>
            <w:tcW w:w="689" w:type="dxa"/>
            <w:vAlign w:val="center"/>
          </w:tcPr>
          <w:p w14:paraId="417140D1">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position w:val="1"/>
                <w:sz w:val="21"/>
                <w:szCs w:val="21"/>
              </w:rPr>
              <w:t>1</w:t>
            </w:r>
          </w:p>
        </w:tc>
        <w:tc>
          <w:tcPr>
            <w:tcW w:w="1154" w:type="dxa"/>
            <w:vAlign w:val="center"/>
          </w:tcPr>
          <w:p w14:paraId="30D06B04">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9"/>
                <w:sz w:val="21"/>
                <w:szCs w:val="21"/>
                <w:lang w:eastAsia="zh-CN"/>
              </w:rPr>
              <w:t>采矿场地</w:t>
            </w:r>
          </w:p>
        </w:tc>
        <w:tc>
          <w:tcPr>
            <w:tcW w:w="1394" w:type="dxa"/>
            <w:vAlign w:val="center"/>
          </w:tcPr>
          <w:p w14:paraId="46A6512B">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5"/>
                <w:sz w:val="21"/>
                <w:szCs w:val="21"/>
              </w:rPr>
              <w:t>挖损</w:t>
            </w:r>
          </w:p>
        </w:tc>
        <w:tc>
          <w:tcPr>
            <w:tcW w:w="1625" w:type="dxa"/>
            <w:vAlign w:val="center"/>
          </w:tcPr>
          <w:p w14:paraId="7584BADB">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Theme="majorEastAsia" w:hAnsiTheme="majorEastAsia" w:eastAsiaTheme="majorEastAsia" w:cstheme="majorEastAsia"/>
                <w:spacing w:val="4"/>
                <w:sz w:val="21"/>
                <w:szCs w:val="21"/>
                <w:lang w:val="en-US" w:eastAsia="zh-CN"/>
              </w:rPr>
            </w:pPr>
            <w:r>
              <w:rPr>
                <w:rFonts w:hint="eastAsia" w:asciiTheme="majorEastAsia" w:hAnsiTheme="majorEastAsia" w:eastAsiaTheme="majorEastAsia" w:cstheme="majorEastAsia"/>
                <w:spacing w:val="4"/>
                <w:sz w:val="21"/>
                <w:szCs w:val="21"/>
                <w:lang w:val="en-US" w:eastAsia="zh-CN"/>
              </w:rPr>
              <w:t>44.62</w:t>
            </w:r>
          </w:p>
        </w:tc>
        <w:tc>
          <w:tcPr>
            <w:tcW w:w="1623" w:type="dxa"/>
            <w:vAlign w:val="center"/>
          </w:tcPr>
          <w:p w14:paraId="00015468">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Theme="majorEastAsia" w:hAnsiTheme="majorEastAsia" w:eastAsiaTheme="majorEastAsia" w:cstheme="majorEastAsia"/>
                <w:color w:val="auto"/>
                <w:sz w:val="21"/>
                <w:szCs w:val="21"/>
                <w:lang w:val="en-US" w:eastAsia="zh-CN"/>
              </w:rPr>
            </w:pPr>
            <w:r>
              <w:rPr>
                <w:rFonts w:hint="eastAsia" w:asciiTheme="majorEastAsia" w:hAnsiTheme="majorEastAsia" w:eastAsiaTheme="majorEastAsia" w:cstheme="majorEastAsia"/>
                <w:color w:val="auto"/>
                <w:spacing w:val="6"/>
                <w:position w:val="1"/>
                <w:sz w:val="21"/>
                <w:szCs w:val="21"/>
                <w:lang w:val="en-US" w:eastAsia="zh-CN"/>
              </w:rPr>
              <w:t>55.38</w:t>
            </w:r>
          </w:p>
        </w:tc>
        <w:tc>
          <w:tcPr>
            <w:tcW w:w="750" w:type="dxa"/>
            <w:vAlign w:val="center"/>
          </w:tcPr>
          <w:p w14:paraId="4E0FBC2C">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Theme="majorEastAsia" w:hAnsiTheme="majorEastAsia" w:eastAsiaTheme="majorEastAsia" w:cstheme="majorEastAsia"/>
                <w:color w:val="auto"/>
                <w:sz w:val="21"/>
                <w:szCs w:val="21"/>
                <w:lang w:val="en-US" w:eastAsia="zh-CN"/>
              </w:rPr>
            </w:pPr>
            <w:r>
              <w:rPr>
                <w:rFonts w:hint="eastAsia" w:asciiTheme="majorEastAsia" w:hAnsiTheme="majorEastAsia" w:eastAsiaTheme="majorEastAsia" w:cstheme="majorEastAsia"/>
                <w:color w:val="auto"/>
                <w:spacing w:val="6"/>
                <w:position w:val="1"/>
                <w:sz w:val="21"/>
                <w:szCs w:val="21"/>
                <w:lang w:val="en-US" w:eastAsia="zh-CN"/>
              </w:rPr>
              <w:t>100</w:t>
            </w:r>
          </w:p>
        </w:tc>
        <w:tc>
          <w:tcPr>
            <w:tcW w:w="690" w:type="dxa"/>
            <w:vAlign w:val="center"/>
          </w:tcPr>
          <w:p w14:paraId="4CB2CC23">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p>
        </w:tc>
      </w:tr>
      <w:tr w14:paraId="33E89D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jc w:val="center"/>
        </w:trPr>
        <w:tc>
          <w:tcPr>
            <w:tcW w:w="689" w:type="dxa"/>
            <w:vAlign w:val="center"/>
          </w:tcPr>
          <w:p w14:paraId="0C5A27BD">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2</w:t>
            </w:r>
          </w:p>
        </w:tc>
        <w:tc>
          <w:tcPr>
            <w:tcW w:w="1154" w:type="dxa"/>
            <w:vAlign w:val="center"/>
          </w:tcPr>
          <w:p w14:paraId="79B32539">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工业场地</w:t>
            </w:r>
          </w:p>
        </w:tc>
        <w:tc>
          <w:tcPr>
            <w:tcW w:w="1394" w:type="dxa"/>
            <w:vAlign w:val="center"/>
          </w:tcPr>
          <w:p w14:paraId="68A7E8F1">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压占</w:t>
            </w:r>
          </w:p>
        </w:tc>
        <w:tc>
          <w:tcPr>
            <w:tcW w:w="1625" w:type="dxa"/>
            <w:vAlign w:val="center"/>
          </w:tcPr>
          <w:p w14:paraId="0CA0502D">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Theme="majorEastAsia" w:hAnsiTheme="majorEastAsia" w:eastAsiaTheme="majorEastAsia" w:cstheme="majorEastAsia"/>
                <w:spacing w:val="4"/>
                <w:sz w:val="21"/>
                <w:szCs w:val="21"/>
                <w:lang w:val="en-US" w:eastAsia="zh-CN"/>
              </w:rPr>
            </w:pPr>
            <w:r>
              <w:rPr>
                <w:rFonts w:hint="eastAsia" w:asciiTheme="majorEastAsia" w:hAnsiTheme="majorEastAsia" w:eastAsiaTheme="majorEastAsia" w:cstheme="majorEastAsia"/>
                <w:spacing w:val="4"/>
                <w:sz w:val="21"/>
                <w:szCs w:val="21"/>
                <w:lang w:val="en-US" w:eastAsia="zh-CN"/>
              </w:rPr>
              <w:t>4.23</w:t>
            </w:r>
          </w:p>
        </w:tc>
        <w:tc>
          <w:tcPr>
            <w:tcW w:w="1623" w:type="dxa"/>
            <w:vAlign w:val="center"/>
          </w:tcPr>
          <w:p w14:paraId="7D309407">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pacing w:val="4"/>
                <w:sz w:val="21"/>
                <w:szCs w:val="21"/>
                <w:lang w:eastAsia="zh-CN"/>
              </w:rPr>
              <w:t>0</w:t>
            </w:r>
          </w:p>
        </w:tc>
        <w:tc>
          <w:tcPr>
            <w:tcW w:w="750" w:type="dxa"/>
            <w:vAlign w:val="center"/>
          </w:tcPr>
          <w:p w14:paraId="4BABCDE6">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pacing w:val="4"/>
                <w:sz w:val="21"/>
                <w:szCs w:val="21"/>
                <w:lang w:val="en-US" w:eastAsia="zh-CN"/>
              </w:rPr>
              <w:t>4.23</w:t>
            </w:r>
          </w:p>
        </w:tc>
        <w:tc>
          <w:tcPr>
            <w:tcW w:w="690" w:type="dxa"/>
            <w:vAlign w:val="center"/>
          </w:tcPr>
          <w:p w14:paraId="1906C60D">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p>
        </w:tc>
      </w:tr>
      <w:tr w14:paraId="14D81B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jc w:val="center"/>
        </w:trPr>
        <w:tc>
          <w:tcPr>
            <w:tcW w:w="689" w:type="dxa"/>
            <w:vAlign w:val="center"/>
          </w:tcPr>
          <w:p w14:paraId="25C53901">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position w:val="1"/>
                <w:sz w:val="21"/>
                <w:szCs w:val="21"/>
                <w:lang w:eastAsia="zh-CN"/>
              </w:rPr>
            </w:pPr>
            <w:r>
              <w:rPr>
                <w:rFonts w:hint="eastAsia" w:asciiTheme="majorEastAsia" w:hAnsiTheme="majorEastAsia" w:eastAsiaTheme="majorEastAsia" w:cstheme="majorEastAsia"/>
                <w:position w:val="1"/>
                <w:sz w:val="21"/>
                <w:szCs w:val="21"/>
                <w:lang w:val="en-US" w:eastAsia="zh-CN"/>
              </w:rPr>
              <w:t>3</w:t>
            </w:r>
          </w:p>
        </w:tc>
        <w:tc>
          <w:tcPr>
            <w:tcW w:w="1154" w:type="dxa"/>
            <w:vAlign w:val="center"/>
          </w:tcPr>
          <w:p w14:paraId="1A289C7B">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pacing w:val="9"/>
                <w:sz w:val="21"/>
                <w:szCs w:val="21"/>
              </w:rPr>
            </w:pPr>
            <w:r>
              <w:rPr>
                <w:rFonts w:hint="eastAsia" w:asciiTheme="majorEastAsia" w:hAnsiTheme="majorEastAsia" w:eastAsiaTheme="majorEastAsia" w:cstheme="majorEastAsia"/>
                <w:spacing w:val="9"/>
                <w:sz w:val="21"/>
                <w:szCs w:val="21"/>
              </w:rPr>
              <w:t>矿山道路</w:t>
            </w:r>
          </w:p>
        </w:tc>
        <w:tc>
          <w:tcPr>
            <w:tcW w:w="1394" w:type="dxa"/>
            <w:vAlign w:val="center"/>
          </w:tcPr>
          <w:p w14:paraId="2307C83E">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pacing w:val="10"/>
                <w:sz w:val="21"/>
                <w:szCs w:val="21"/>
              </w:rPr>
            </w:pPr>
            <w:r>
              <w:rPr>
                <w:rFonts w:hint="eastAsia" w:asciiTheme="majorEastAsia" w:hAnsiTheme="majorEastAsia" w:eastAsiaTheme="majorEastAsia" w:cstheme="majorEastAsia"/>
                <w:spacing w:val="10"/>
                <w:sz w:val="21"/>
                <w:szCs w:val="21"/>
              </w:rPr>
              <w:t>挖损、压占</w:t>
            </w:r>
          </w:p>
        </w:tc>
        <w:tc>
          <w:tcPr>
            <w:tcW w:w="1625" w:type="dxa"/>
            <w:vAlign w:val="center"/>
          </w:tcPr>
          <w:p w14:paraId="7C99B6C8">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Theme="majorEastAsia" w:hAnsiTheme="majorEastAsia" w:eastAsiaTheme="majorEastAsia" w:cstheme="majorEastAsia"/>
                <w:spacing w:val="4"/>
                <w:sz w:val="21"/>
                <w:szCs w:val="21"/>
                <w:lang w:val="en-US" w:eastAsia="zh-CN"/>
              </w:rPr>
            </w:pPr>
            <w:r>
              <w:rPr>
                <w:rFonts w:hint="eastAsia" w:asciiTheme="majorEastAsia" w:hAnsiTheme="majorEastAsia" w:eastAsiaTheme="majorEastAsia" w:cstheme="majorEastAsia"/>
                <w:spacing w:val="4"/>
                <w:sz w:val="21"/>
                <w:szCs w:val="21"/>
                <w:lang w:val="en-US" w:eastAsia="zh-CN"/>
              </w:rPr>
              <w:t>0.24</w:t>
            </w:r>
          </w:p>
        </w:tc>
        <w:tc>
          <w:tcPr>
            <w:tcW w:w="1623" w:type="dxa"/>
            <w:vAlign w:val="center"/>
          </w:tcPr>
          <w:p w14:paraId="300602B4">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pacing w:val="6"/>
                <w:position w:val="1"/>
                <w:sz w:val="21"/>
                <w:szCs w:val="21"/>
                <w:lang w:eastAsia="zh-CN"/>
              </w:rPr>
            </w:pPr>
            <w:r>
              <w:rPr>
                <w:rFonts w:hint="eastAsia" w:asciiTheme="majorEastAsia" w:hAnsiTheme="majorEastAsia" w:eastAsiaTheme="majorEastAsia" w:cstheme="majorEastAsia"/>
                <w:spacing w:val="6"/>
                <w:position w:val="1"/>
                <w:sz w:val="21"/>
                <w:szCs w:val="21"/>
                <w:lang w:val="en-US" w:eastAsia="zh-CN"/>
              </w:rPr>
              <w:t>0</w:t>
            </w:r>
          </w:p>
        </w:tc>
        <w:tc>
          <w:tcPr>
            <w:tcW w:w="750" w:type="dxa"/>
            <w:vAlign w:val="center"/>
          </w:tcPr>
          <w:p w14:paraId="71A28A88">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Theme="majorEastAsia" w:hAnsiTheme="majorEastAsia" w:eastAsiaTheme="majorEastAsia" w:cstheme="majorEastAsia"/>
                <w:spacing w:val="6"/>
                <w:position w:val="1"/>
                <w:sz w:val="21"/>
                <w:szCs w:val="21"/>
                <w:lang w:val="en-US" w:eastAsia="zh-CN"/>
              </w:rPr>
            </w:pPr>
            <w:r>
              <w:rPr>
                <w:rFonts w:hint="eastAsia" w:asciiTheme="majorEastAsia" w:hAnsiTheme="majorEastAsia" w:eastAsiaTheme="majorEastAsia" w:cstheme="majorEastAsia"/>
                <w:spacing w:val="6"/>
                <w:position w:val="1"/>
                <w:sz w:val="21"/>
                <w:szCs w:val="21"/>
                <w:lang w:eastAsia="zh-CN"/>
              </w:rPr>
              <w:t>0.2</w:t>
            </w:r>
            <w:r>
              <w:rPr>
                <w:rFonts w:hint="eastAsia" w:asciiTheme="majorEastAsia" w:hAnsiTheme="majorEastAsia" w:eastAsiaTheme="majorEastAsia" w:cstheme="majorEastAsia"/>
                <w:spacing w:val="6"/>
                <w:position w:val="1"/>
                <w:sz w:val="21"/>
                <w:szCs w:val="21"/>
                <w:lang w:val="en-US" w:eastAsia="zh-CN"/>
              </w:rPr>
              <w:t>4</w:t>
            </w:r>
          </w:p>
        </w:tc>
        <w:tc>
          <w:tcPr>
            <w:tcW w:w="690" w:type="dxa"/>
            <w:vAlign w:val="center"/>
          </w:tcPr>
          <w:p w14:paraId="03A966C4">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p>
        </w:tc>
      </w:tr>
      <w:tr w14:paraId="5A5DAA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jc w:val="center"/>
        </w:trPr>
        <w:tc>
          <w:tcPr>
            <w:tcW w:w="1843" w:type="dxa"/>
            <w:gridSpan w:val="2"/>
            <w:vAlign w:val="center"/>
          </w:tcPr>
          <w:p w14:paraId="419B8E32">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pacing w:val="2"/>
                <w:sz w:val="21"/>
                <w:szCs w:val="21"/>
              </w:rPr>
              <w:t>合计</w:t>
            </w:r>
          </w:p>
        </w:tc>
        <w:tc>
          <w:tcPr>
            <w:tcW w:w="1394" w:type="dxa"/>
            <w:vAlign w:val="center"/>
          </w:tcPr>
          <w:p w14:paraId="07AAE35E">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p>
        </w:tc>
        <w:tc>
          <w:tcPr>
            <w:tcW w:w="1625" w:type="dxa"/>
            <w:vAlign w:val="center"/>
          </w:tcPr>
          <w:p w14:paraId="41E14066">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49.09</w:t>
            </w:r>
          </w:p>
        </w:tc>
        <w:tc>
          <w:tcPr>
            <w:tcW w:w="1623" w:type="dxa"/>
            <w:vAlign w:val="center"/>
          </w:tcPr>
          <w:p w14:paraId="79706C2E">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pacing w:val="6"/>
                <w:position w:val="1"/>
                <w:sz w:val="21"/>
                <w:szCs w:val="21"/>
                <w:lang w:val="en-US" w:eastAsia="zh-CN"/>
              </w:rPr>
              <w:t>55.38</w:t>
            </w:r>
          </w:p>
        </w:tc>
        <w:tc>
          <w:tcPr>
            <w:tcW w:w="750" w:type="dxa"/>
            <w:vAlign w:val="center"/>
          </w:tcPr>
          <w:p w14:paraId="68F32CD3">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pacing w:val="5"/>
                <w:position w:val="1"/>
                <w:sz w:val="21"/>
                <w:szCs w:val="21"/>
                <w:lang w:val="en-US" w:eastAsia="zh-CN"/>
              </w:rPr>
              <w:t>104.47</w:t>
            </w:r>
          </w:p>
        </w:tc>
        <w:tc>
          <w:tcPr>
            <w:tcW w:w="690" w:type="dxa"/>
            <w:vAlign w:val="center"/>
          </w:tcPr>
          <w:p w14:paraId="540B8E44">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Theme="majorEastAsia" w:hAnsiTheme="majorEastAsia" w:eastAsiaTheme="majorEastAsia" w:cstheme="majorEastAsia"/>
                <w:sz w:val="21"/>
                <w:szCs w:val="21"/>
              </w:rPr>
            </w:pPr>
          </w:p>
        </w:tc>
      </w:tr>
    </w:tbl>
    <w:p w14:paraId="56745431">
      <w:pPr>
        <w:pStyle w:val="6"/>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bookmarkStart w:id="103" w:name="bookmark95"/>
      <w:bookmarkEnd w:id="103"/>
      <w:bookmarkStart w:id="104" w:name="bookmark96"/>
      <w:bookmarkEnd w:id="104"/>
      <w:r>
        <w:rPr>
          <w:rFonts w:hint="eastAsia" w:ascii="宋体" w:hAnsi="宋体" w:eastAsia="宋体" w:cs="宋体"/>
          <w:spacing w:val="-1"/>
          <w:sz w:val="28"/>
          <w:szCs w:val="28"/>
          <w:lang w:eastAsia="zh-CN"/>
        </w:rPr>
        <w:t>2、地质环境影响预测分析</w:t>
      </w:r>
    </w:p>
    <w:p w14:paraId="47CEB7D0">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⑴矿山地质灾害预测分析</w:t>
      </w:r>
    </w:p>
    <w:p w14:paraId="606E827F">
      <w:pPr>
        <w:pStyle w:val="30"/>
        <w:widowControl w:val="0"/>
        <w:numPr>
          <w:ilvl w:val="0"/>
          <w:numId w:val="0"/>
        </w:numPr>
        <w:kinsoku/>
        <w:adjustRightInd/>
        <w:snapToGrid/>
        <w:spacing w:line="360" w:lineRule="auto"/>
        <w:ind w:left="560" w:leftChars="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①采矿场地不稳定边坡灾害预测</w:t>
      </w:r>
    </w:p>
    <w:p w14:paraId="2B565004">
      <w:pPr>
        <w:widowControl w:val="0"/>
        <w:kinsoku/>
        <w:adjustRightInd/>
        <w:snapToGrid/>
        <w:spacing w:line="360" w:lineRule="auto"/>
        <w:ind w:firstLine="562" w:firstLineChars="200"/>
        <w:jc w:val="both"/>
        <w:rPr>
          <w:rFonts w:hint="eastAsia" w:ascii="宋体" w:hAnsi="宋体" w:eastAsia="宋体" w:cs="宋体"/>
          <w:sz w:val="28"/>
          <w:szCs w:val="28"/>
          <w:lang w:val="en-US" w:eastAsia="zh-CN"/>
        </w:rPr>
      </w:pPr>
      <w:r>
        <w:rPr>
          <w:rFonts w:hint="eastAsia" w:ascii="宋体" w:hAnsi="宋体" w:eastAsia="宋体" w:cs="宋体"/>
          <w:b/>
          <w:bCs/>
          <w:sz w:val="28"/>
          <w:szCs w:val="28"/>
          <w:lang w:eastAsia="zh-CN"/>
        </w:rPr>
        <w:t>近</w:t>
      </w:r>
      <w:r>
        <w:rPr>
          <w:rFonts w:hint="eastAsia" w:ascii="宋体" w:hAnsi="宋体" w:eastAsia="宋体" w:cs="宋体"/>
          <w:b/>
          <w:bCs/>
          <w:sz w:val="28"/>
          <w:szCs w:val="28"/>
          <w:lang w:val="en-US" w:eastAsia="zh-CN"/>
        </w:rPr>
        <w:t>3</w:t>
      </w:r>
      <w:r>
        <w:rPr>
          <w:rFonts w:hint="eastAsia" w:ascii="宋体" w:hAnsi="宋体" w:eastAsia="宋体" w:cs="宋体"/>
          <w:b/>
          <w:bCs/>
          <w:sz w:val="28"/>
          <w:szCs w:val="28"/>
          <w:lang w:eastAsia="zh-CN"/>
        </w:rPr>
        <w:t>年预测</w:t>
      </w:r>
      <w:r>
        <w:rPr>
          <w:rFonts w:hint="eastAsia" w:ascii="宋体" w:hAnsi="宋体" w:eastAsia="宋体" w:cs="宋体"/>
          <w:sz w:val="28"/>
          <w:szCs w:val="28"/>
          <w:lang w:eastAsia="zh-CN"/>
        </w:rPr>
        <w:t>：矿山开采时，将形成台阶高度为</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m，边坡高度</w:t>
      </w:r>
      <w:r>
        <w:rPr>
          <w:rFonts w:hint="eastAsia" w:ascii="宋体" w:hAnsi="宋体" w:eastAsia="宋体" w:cs="宋体"/>
          <w:sz w:val="28"/>
          <w:szCs w:val="28"/>
          <w:lang w:val="en-US" w:eastAsia="zh-CN"/>
        </w:rPr>
        <w:t>5.65</w:t>
      </w:r>
      <w:r>
        <w:rPr>
          <w:rFonts w:hint="eastAsia" w:ascii="宋体" w:hAnsi="宋体" w:eastAsia="宋体" w:cs="宋体"/>
          <w:sz w:val="28"/>
          <w:szCs w:val="28"/>
          <w:lang w:eastAsia="zh-CN"/>
        </w:rPr>
        <w:t>m，最终阶段坡面角≤</w:t>
      </w:r>
      <w:r>
        <w:rPr>
          <w:rFonts w:hint="eastAsia" w:ascii="宋体" w:hAnsi="宋体" w:eastAsia="宋体" w:cs="宋体"/>
          <w:sz w:val="28"/>
          <w:szCs w:val="28"/>
          <w:lang w:val="en-US" w:eastAsia="zh-CN"/>
        </w:rPr>
        <w:t>45</w:t>
      </w:r>
      <w:r>
        <w:rPr>
          <w:rFonts w:hint="eastAsia" w:ascii="宋体" w:hAnsi="宋体" w:eastAsia="宋体" w:cs="宋体"/>
          <w:sz w:val="28"/>
          <w:szCs w:val="28"/>
          <w:lang w:eastAsia="zh-CN"/>
        </w:rPr>
        <w:t>°。矿体上部有少量覆盖层，主要为第四系风尘沙和坡积物，稳固性较差，</w:t>
      </w:r>
      <w:r>
        <w:rPr>
          <w:rFonts w:hint="eastAsia" w:ascii="宋体" w:hAnsi="宋体" w:eastAsia="宋体" w:cs="宋体"/>
          <w:sz w:val="28"/>
          <w:szCs w:val="28"/>
          <w:lang w:val="en-US" w:eastAsia="zh-CN"/>
        </w:rPr>
        <w:t>矿区采矿前会进行表土剥离，因此不会</w:t>
      </w:r>
      <w:r>
        <w:rPr>
          <w:rFonts w:hint="eastAsia" w:ascii="宋体" w:hAnsi="宋体" w:eastAsia="宋体" w:cs="宋体"/>
          <w:sz w:val="28"/>
          <w:szCs w:val="28"/>
          <w:lang w:eastAsia="zh-CN"/>
        </w:rPr>
        <w:t>引发局部不稳定边坡地质灾害，</w:t>
      </w:r>
      <w:r>
        <w:rPr>
          <w:rFonts w:hint="eastAsia" w:ascii="宋体" w:hAnsi="宋体" w:eastAsia="宋体" w:cs="宋体"/>
          <w:sz w:val="28"/>
          <w:szCs w:val="28"/>
          <w:lang w:val="en-US" w:eastAsia="zh-CN"/>
        </w:rPr>
        <w:t>不会</w:t>
      </w:r>
      <w:r>
        <w:rPr>
          <w:rFonts w:hint="eastAsia" w:ascii="宋体" w:hAnsi="宋体" w:eastAsia="宋体" w:cs="宋体"/>
          <w:sz w:val="28"/>
          <w:szCs w:val="28"/>
          <w:lang w:eastAsia="zh-CN"/>
        </w:rPr>
        <w:t>威胁采场作业人员和机械设备。</w:t>
      </w:r>
    </w:p>
    <w:p w14:paraId="402CADAE">
      <w:pPr>
        <w:widowControl w:val="0"/>
        <w:kinsoku/>
        <w:adjustRightInd/>
        <w:snapToGrid/>
        <w:spacing w:line="360" w:lineRule="auto"/>
        <w:ind w:firstLine="562" w:firstLineChars="200"/>
        <w:jc w:val="both"/>
        <w:rPr>
          <w:rFonts w:hint="eastAsia" w:ascii="宋体" w:hAnsi="宋体" w:eastAsia="宋体" w:cs="宋体"/>
          <w:sz w:val="28"/>
          <w:szCs w:val="28"/>
          <w:lang w:val="en-US" w:eastAsia="zh-CN"/>
        </w:rPr>
      </w:pPr>
      <w:r>
        <w:rPr>
          <w:rFonts w:hint="eastAsia" w:ascii="宋体" w:hAnsi="宋体" w:eastAsia="宋体" w:cs="宋体"/>
          <w:b/>
          <w:bCs/>
          <w:sz w:val="28"/>
          <w:szCs w:val="28"/>
          <w:lang w:eastAsia="zh-CN"/>
        </w:rPr>
        <w:t>开采终了预测</w:t>
      </w:r>
      <w:r>
        <w:rPr>
          <w:rFonts w:hint="eastAsia" w:ascii="宋体" w:hAnsi="宋体" w:eastAsia="宋体" w:cs="宋体"/>
          <w:sz w:val="28"/>
          <w:szCs w:val="28"/>
          <w:lang w:eastAsia="zh-CN"/>
        </w:rPr>
        <w:t>：矿山开采终了时，将形成台阶高度为</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m，边坡高度</w:t>
      </w:r>
      <w:r>
        <w:rPr>
          <w:rFonts w:hint="eastAsia" w:ascii="宋体" w:hAnsi="宋体" w:eastAsia="宋体" w:cs="宋体"/>
          <w:sz w:val="28"/>
          <w:szCs w:val="28"/>
          <w:lang w:val="en-US" w:eastAsia="zh-CN"/>
        </w:rPr>
        <w:t>5.65</w:t>
      </w:r>
      <w:r>
        <w:rPr>
          <w:rFonts w:hint="eastAsia" w:ascii="宋体" w:hAnsi="宋体" w:eastAsia="宋体" w:cs="宋体"/>
          <w:sz w:val="28"/>
          <w:szCs w:val="28"/>
          <w:lang w:eastAsia="zh-CN"/>
        </w:rPr>
        <w:t>m，最终阶段坡面角≤</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5°。矿体上部有少量覆盖层，主要为第四系风尘沙和坡积物，稳固性较差，</w:t>
      </w:r>
      <w:r>
        <w:rPr>
          <w:rFonts w:hint="eastAsia" w:ascii="宋体" w:hAnsi="宋体" w:eastAsia="宋体" w:cs="宋体"/>
          <w:sz w:val="28"/>
          <w:szCs w:val="28"/>
          <w:lang w:val="en-US" w:eastAsia="zh-CN"/>
        </w:rPr>
        <w:t>矿区开采结束后会对表土全部进行剥离，因此不会</w:t>
      </w:r>
      <w:r>
        <w:rPr>
          <w:rFonts w:hint="eastAsia" w:ascii="宋体" w:hAnsi="宋体" w:eastAsia="宋体" w:cs="宋体"/>
          <w:sz w:val="28"/>
          <w:szCs w:val="28"/>
          <w:lang w:eastAsia="zh-CN"/>
        </w:rPr>
        <w:t>引发局部不稳定边坡地质灾害，</w:t>
      </w:r>
      <w:r>
        <w:rPr>
          <w:rFonts w:hint="eastAsia" w:ascii="宋体" w:hAnsi="宋体" w:eastAsia="宋体" w:cs="宋体"/>
          <w:sz w:val="28"/>
          <w:szCs w:val="28"/>
          <w:lang w:val="en-US" w:eastAsia="zh-CN"/>
        </w:rPr>
        <w:t>不会</w:t>
      </w:r>
      <w:r>
        <w:rPr>
          <w:rFonts w:hint="eastAsia" w:ascii="宋体" w:hAnsi="宋体" w:eastAsia="宋体" w:cs="宋体"/>
          <w:sz w:val="28"/>
          <w:szCs w:val="28"/>
          <w:lang w:eastAsia="zh-CN"/>
        </w:rPr>
        <w:t>威胁采场作业人员和机械设备。</w:t>
      </w:r>
    </w:p>
    <w:p w14:paraId="11E3FB4B">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②工业场地遭受地质灾害的危险性预测：</w:t>
      </w:r>
    </w:p>
    <w:p w14:paraId="722C221E">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工业场地均已修建于</w:t>
      </w:r>
      <w:r>
        <w:rPr>
          <w:rFonts w:hint="eastAsia" w:ascii="宋体" w:hAnsi="宋体" w:cs="宋体"/>
          <w:sz w:val="28"/>
          <w:szCs w:val="28"/>
          <w:lang w:eastAsia="zh-CN"/>
        </w:rPr>
        <w:t>采矿权北侧</w:t>
      </w:r>
      <w:r>
        <w:rPr>
          <w:rFonts w:hint="eastAsia" w:ascii="宋体" w:hAnsi="宋体" w:cs="宋体"/>
          <w:sz w:val="28"/>
          <w:szCs w:val="28"/>
          <w:lang w:val="en-US" w:eastAsia="zh-CN"/>
        </w:rPr>
        <w:t>30m</w:t>
      </w:r>
      <w:r>
        <w:rPr>
          <w:rFonts w:hint="eastAsia" w:ascii="宋体" w:hAnsi="宋体" w:cs="宋体"/>
          <w:sz w:val="28"/>
          <w:szCs w:val="28"/>
          <w:lang w:eastAsia="zh-CN"/>
        </w:rPr>
        <w:t>处</w:t>
      </w:r>
      <w:r>
        <w:rPr>
          <w:rFonts w:hint="eastAsia" w:ascii="宋体" w:hAnsi="宋体" w:eastAsia="宋体" w:cs="宋体"/>
          <w:sz w:val="28"/>
          <w:szCs w:val="28"/>
          <w:lang w:eastAsia="zh-CN"/>
        </w:rPr>
        <w:t>，压占原有土地，使原有土地遭到破坏，压占面积为</w:t>
      </w:r>
      <w:r>
        <w:rPr>
          <w:rFonts w:hint="eastAsia" w:ascii="宋体" w:hAnsi="宋体" w:eastAsia="宋体" w:cs="宋体"/>
          <w:sz w:val="28"/>
          <w:szCs w:val="28"/>
          <w:lang w:val="en-US" w:eastAsia="zh-CN"/>
        </w:rPr>
        <w:t>4.23</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，场地地势较平缓，修建时未形成不稳定边坡，也未引发崩塌、滑坡等地质灾害，预测后期遭受地质灾害的可能小，发育程度弱，危害程度小，危险性小。</w:t>
      </w:r>
    </w:p>
    <w:p w14:paraId="2225D53E">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③矿山道路遭受地质灾害的危险性预测：</w:t>
      </w:r>
    </w:p>
    <w:p w14:paraId="524EBE9E">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矿山道路已修建于矿区内部及外部，场地地势较平缓，修建时未形成不稳定边坡，也未引发崩塌、滑坡等地质灾害，预测后期遭受地质灾害的可能小，发育程度弱，危害程度小，危险性小。</w:t>
      </w:r>
    </w:p>
    <w:p w14:paraId="623F001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⑵地形地貌景观破坏预测分析</w:t>
      </w:r>
    </w:p>
    <w:p w14:paraId="25F2D549">
      <w:pPr>
        <w:widowControl w:val="0"/>
        <w:kinsoku/>
        <w:adjustRightInd/>
        <w:snapToGrid/>
        <w:spacing w:line="360" w:lineRule="auto"/>
        <w:ind w:firstLine="562" w:firstLineChars="200"/>
        <w:jc w:val="both"/>
        <w:rPr>
          <w:rFonts w:hint="eastAsia" w:ascii="宋体" w:hAnsi="宋体" w:eastAsia="宋体" w:cs="宋体"/>
          <w:sz w:val="28"/>
          <w:szCs w:val="28"/>
          <w:lang w:eastAsia="zh-CN"/>
        </w:rPr>
      </w:pPr>
      <w:r>
        <w:rPr>
          <w:rFonts w:hint="eastAsia" w:ascii="宋体" w:hAnsi="宋体" w:eastAsia="宋体" w:cs="宋体"/>
          <w:b/>
          <w:bCs/>
          <w:sz w:val="28"/>
          <w:szCs w:val="28"/>
          <w:lang w:eastAsia="zh-CN"/>
        </w:rPr>
        <w:t>近</w:t>
      </w:r>
      <w:r>
        <w:rPr>
          <w:rFonts w:hint="eastAsia" w:ascii="宋体" w:hAnsi="宋体" w:eastAsia="宋体" w:cs="宋体"/>
          <w:b/>
          <w:bCs/>
          <w:sz w:val="28"/>
          <w:szCs w:val="28"/>
          <w:lang w:val="en-US" w:eastAsia="zh-CN"/>
        </w:rPr>
        <w:t>3</w:t>
      </w:r>
      <w:r>
        <w:rPr>
          <w:rFonts w:hint="eastAsia" w:ascii="宋体" w:hAnsi="宋体" w:eastAsia="宋体" w:cs="宋体"/>
          <w:b/>
          <w:bCs/>
          <w:sz w:val="28"/>
          <w:szCs w:val="28"/>
          <w:lang w:eastAsia="zh-CN"/>
        </w:rPr>
        <w:t>年预测：</w:t>
      </w:r>
      <w:r>
        <w:rPr>
          <w:rFonts w:hint="eastAsia" w:ascii="宋体" w:hAnsi="宋体" w:eastAsia="宋体" w:cs="宋体"/>
          <w:sz w:val="28"/>
          <w:szCs w:val="28"/>
          <w:lang w:eastAsia="zh-CN"/>
        </w:rPr>
        <w:t>评估区离公路较远，周围无自然保护区、旅游景点、人文景观，矿体经</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年开采后，预测将在采矿权范围内形成东西长约</w:t>
      </w:r>
      <w:r>
        <w:rPr>
          <w:rFonts w:hint="eastAsia" w:ascii="宋体" w:hAnsi="宋体" w:eastAsia="宋体" w:cs="宋体"/>
          <w:sz w:val="28"/>
          <w:szCs w:val="28"/>
          <w:lang w:val="en-US" w:eastAsia="zh-CN"/>
        </w:rPr>
        <w:t>1000</w:t>
      </w:r>
      <w:r>
        <w:rPr>
          <w:rFonts w:hint="eastAsia" w:ascii="宋体" w:hAnsi="宋体" w:eastAsia="宋体" w:cs="宋体"/>
          <w:sz w:val="28"/>
          <w:szCs w:val="28"/>
          <w:lang w:eastAsia="zh-CN"/>
        </w:rPr>
        <w:t>m，南北宽</w:t>
      </w:r>
      <w:r>
        <w:rPr>
          <w:rFonts w:hint="eastAsia" w:ascii="宋体" w:hAnsi="宋体" w:eastAsia="宋体" w:cs="宋体"/>
          <w:sz w:val="28"/>
          <w:szCs w:val="28"/>
          <w:lang w:val="en-US" w:eastAsia="zh-CN"/>
        </w:rPr>
        <w:t>400</w:t>
      </w:r>
      <w:r>
        <w:rPr>
          <w:rFonts w:hint="eastAsia" w:ascii="宋体" w:hAnsi="宋体" w:eastAsia="宋体" w:cs="宋体"/>
          <w:sz w:val="28"/>
          <w:szCs w:val="28"/>
          <w:lang w:eastAsia="zh-CN"/>
        </w:rPr>
        <w:t>m的开采面，最大边坡高</w:t>
      </w:r>
      <w:r>
        <w:rPr>
          <w:rFonts w:hint="eastAsia" w:ascii="宋体" w:hAnsi="宋体" w:eastAsia="宋体" w:cs="宋体"/>
          <w:sz w:val="28"/>
          <w:szCs w:val="28"/>
          <w:lang w:val="en-US" w:eastAsia="zh-CN"/>
        </w:rPr>
        <w:t>5.65</w:t>
      </w:r>
      <w:r>
        <w:rPr>
          <w:rFonts w:hint="eastAsia" w:ascii="宋体" w:hAnsi="宋体" w:eastAsia="宋体" w:cs="宋体"/>
          <w:sz w:val="28"/>
          <w:szCs w:val="28"/>
          <w:lang w:eastAsia="zh-CN"/>
        </w:rPr>
        <w:t>m，最终挖损面积为</w:t>
      </w:r>
      <w:r>
        <w:rPr>
          <w:rFonts w:hint="eastAsia" w:ascii="宋体" w:hAnsi="宋体" w:eastAsia="宋体" w:cs="宋体"/>
          <w:sz w:val="28"/>
          <w:szCs w:val="28"/>
          <w:lang w:val="en-US" w:eastAsia="zh-CN"/>
        </w:rPr>
        <w:t>40</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，形成的坡面与周围环境相对不协调，破坏原有地形地貌，形成残破景观，预测矿业活动对地形地貌破坏影响严重；工业场地均已修建于</w:t>
      </w:r>
      <w:r>
        <w:rPr>
          <w:rFonts w:hint="eastAsia" w:ascii="宋体" w:hAnsi="宋体" w:cs="宋体"/>
          <w:sz w:val="28"/>
          <w:szCs w:val="28"/>
          <w:lang w:eastAsia="zh-CN"/>
        </w:rPr>
        <w:t>采矿权北侧</w:t>
      </w:r>
      <w:r>
        <w:rPr>
          <w:rFonts w:hint="eastAsia" w:ascii="宋体" w:hAnsi="宋体" w:cs="宋体"/>
          <w:sz w:val="28"/>
          <w:szCs w:val="28"/>
          <w:lang w:val="en-US" w:eastAsia="zh-CN"/>
        </w:rPr>
        <w:t>30</w:t>
      </w:r>
      <w:r>
        <w:rPr>
          <w:rFonts w:hint="eastAsia" w:ascii="宋体" w:hAnsi="宋体" w:cs="宋体"/>
          <w:sz w:val="28"/>
          <w:szCs w:val="28"/>
          <w:lang w:eastAsia="zh-CN"/>
        </w:rPr>
        <w:t>m处</w:t>
      </w:r>
      <w:r>
        <w:rPr>
          <w:rFonts w:hint="eastAsia" w:ascii="宋体" w:hAnsi="宋体" w:eastAsia="宋体" w:cs="宋体"/>
          <w:sz w:val="28"/>
          <w:szCs w:val="28"/>
          <w:lang w:eastAsia="zh-CN"/>
        </w:rPr>
        <w:t>，后期将继续压占，面积不再扩大，压占面积为</w:t>
      </w:r>
      <w:r>
        <w:rPr>
          <w:rFonts w:hint="eastAsia" w:ascii="宋体" w:hAnsi="宋体" w:eastAsia="宋体" w:cs="宋体"/>
          <w:sz w:val="28"/>
          <w:szCs w:val="28"/>
          <w:lang w:val="en-US" w:eastAsia="zh-CN"/>
        </w:rPr>
        <w:t>4.23</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，破坏了原有的地形地貌，预测对地形地貌景观的影响程度属较轻；矿山道路大部分位于采矿场地外部，采矿场地外部压占面积为</w:t>
      </w:r>
      <w:r>
        <w:rPr>
          <w:rFonts w:hint="eastAsia" w:ascii="宋体" w:hAnsi="宋体" w:eastAsia="宋体" w:cs="宋体"/>
          <w:sz w:val="28"/>
          <w:szCs w:val="28"/>
          <w:lang w:val="en-US" w:eastAsia="zh-CN"/>
        </w:rPr>
        <w:t>0.24</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，破坏了原有的地形地貌，预测对地形地貌景观的影响程度属较轻。</w:t>
      </w:r>
    </w:p>
    <w:p w14:paraId="5AD5D242">
      <w:pPr>
        <w:widowControl w:val="0"/>
        <w:kinsoku/>
        <w:adjustRightInd/>
        <w:snapToGrid/>
        <w:spacing w:line="360" w:lineRule="auto"/>
        <w:ind w:firstLine="562" w:firstLineChars="200"/>
        <w:jc w:val="both"/>
        <w:rPr>
          <w:rFonts w:hint="eastAsia" w:ascii="宋体" w:hAnsi="宋体" w:eastAsia="宋体" w:cs="宋体"/>
          <w:sz w:val="28"/>
          <w:szCs w:val="28"/>
          <w:lang w:eastAsia="zh-CN"/>
        </w:rPr>
      </w:pPr>
      <w:r>
        <w:rPr>
          <w:rFonts w:hint="eastAsia" w:ascii="宋体" w:hAnsi="宋体" w:eastAsia="宋体" w:cs="宋体"/>
          <w:b/>
          <w:bCs/>
          <w:sz w:val="28"/>
          <w:szCs w:val="28"/>
          <w:lang w:eastAsia="zh-CN"/>
        </w:rPr>
        <w:t>开采终了预测：</w:t>
      </w:r>
      <w:r>
        <w:rPr>
          <w:rFonts w:hint="eastAsia" w:ascii="宋体" w:hAnsi="宋体" w:eastAsia="宋体" w:cs="宋体"/>
          <w:sz w:val="28"/>
          <w:szCs w:val="28"/>
          <w:lang w:eastAsia="zh-CN"/>
        </w:rPr>
        <w:t>矿体经大规模开采后，预测将在采矿权范围内形成东西长约</w:t>
      </w:r>
      <w:r>
        <w:rPr>
          <w:rFonts w:hint="eastAsia" w:ascii="宋体" w:hAnsi="宋体" w:eastAsia="宋体" w:cs="宋体"/>
          <w:sz w:val="28"/>
          <w:szCs w:val="28"/>
          <w:lang w:val="en-US" w:eastAsia="zh-CN"/>
        </w:rPr>
        <w:t>2500</w:t>
      </w:r>
      <w:r>
        <w:rPr>
          <w:rFonts w:hint="eastAsia" w:ascii="宋体" w:hAnsi="宋体" w:eastAsia="宋体" w:cs="宋体"/>
          <w:sz w:val="28"/>
          <w:szCs w:val="28"/>
          <w:lang w:eastAsia="zh-CN"/>
        </w:rPr>
        <w:t>m，南北宽</w:t>
      </w:r>
      <w:r>
        <w:rPr>
          <w:rFonts w:hint="eastAsia" w:ascii="宋体" w:hAnsi="宋体" w:eastAsia="宋体" w:cs="宋体"/>
          <w:sz w:val="28"/>
          <w:szCs w:val="28"/>
          <w:lang w:val="en-US" w:eastAsia="zh-CN"/>
        </w:rPr>
        <w:t>400</w:t>
      </w:r>
      <w:r>
        <w:rPr>
          <w:rFonts w:hint="eastAsia" w:ascii="宋体" w:hAnsi="宋体" w:eastAsia="宋体" w:cs="宋体"/>
          <w:sz w:val="28"/>
          <w:szCs w:val="28"/>
          <w:lang w:eastAsia="zh-CN"/>
        </w:rPr>
        <w:t>m的开采面，最大边坡高</w:t>
      </w:r>
      <w:r>
        <w:rPr>
          <w:rFonts w:hint="eastAsia" w:ascii="宋体" w:hAnsi="宋体" w:eastAsia="宋体" w:cs="宋体"/>
          <w:sz w:val="28"/>
          <w:szCs w:val="28"/>
          <w:lang w:val="en-US" w:eastAsia="zh-CN"/>
        </w:rPr>
        <w:t>5.65</w:t>
      </w:r>
      <w:r>
        <w:rPr>
          <w:rFonts w:hint="eastAsia" w:ascii="宋体" w:hAnsi="宋体" w:eastAsia="宋体" w:cs="宋体"/>
          <w:sz w:val="28"/>
          <w:szCs w:val="28"/>
          <w:lang w:eastAsia="zh-CN"/>
        </w:rPr>
        <w:t>m，最终挖损面积为</w:t>
      </w:r>
      <w:r>
        <w:rPr>
          <w:rFonts w:hint="eastAsia" w:ascii="宋体" w:hAnsi="宋体" w:eastAsia="宋体" w:cs="宋体"/>
          <w:sz w:val="28"/>
          <w:szCs w:val="28"/>
          <w:lang w:val="en-US" w:eastAsia="zh-CN"/>
        </w:rPr>
        <w:t>100</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，形成的坡面与周围环境相对不协调，破坏原有地形地貌，形成残破景观，预测矿业活动对地形地貌破坏影响严重；工业场地均已修建于</w:t>
      </w:r>
      <w:r>
        <w:rPr>
          <w:rFonts w:hint="eastAsia" w:ascii="宋体" w:hAnsi="宋体" w:cs="宋体"/>
          <w:sz w:val="28"/>
          <w:szCs w:val="28"/>
          <w:lang w:eastAsia="zh-CN"/>
        </w:rPr>
        <w:t>采矿权北侧</w:t>
      </w:r>
      <w:r>
        <w:rPr>
          <w:rFonts w:hint="eastAsia" w:ascii="宋体" w:hAnsi="宋体" w:cs="宋体"/>
          <w:sz w:val="28"/>
          <w:szCs w:val="28"/>
          <w:lang w:val="en-US" w:eastAsia="zh-CN"/>
        </w:rPr>
        <w:t>30</w:t>
      </w:r>
      <w:r>
        <w:rPr>
          <w:rFonts w:hint="eastAsia" w:ascii="宋体" w:hAnsi="宋体" w:cs="宋体"/>
          <w:sz w:val="28"/>
          <w:szCs w:val="28"/>
          <w:lang w:eastAsia="zh-CN"/>
        </w:rPr>
        <w:t>m处</w:t>
      </w:r>
      <w:r>
        <w:rPr>
          <w:rFonts w:hint="eastAsia" w:ascii="宋体" w:hAnsi="宋体" w:eastAsia="宋体" w:cs="宋体"/>
          <w:sz w:val="28"/>
          <w:szCs w:val="28"/>
          <w:lang w:eastAsia="zh-CN"/>
        </w:rPr>
        <w:t>，后期将继续压占，面积不再扩大，压占面积为</w:t>
      </w:r>
      <w:r>
        <w:rPr>
          <w:rFonts w:hint="eastAsia" w:ascii="宋体" w:hAnsi="宋体" w:eastAsia="宋体" w:cs="宋体"/>
          <w:sz w:val="28"/>
          <w:szCs w:val="28"/>
          <w:lang w:val="en-US" w:eastAsia="zh-CN"/>
        </w:rPr>
        <w:t>4.23</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，破坏了原有的地形地貌，预测对地形地貌景观的影响程度属较轻；矿山道路大部分位于采矿场地外部，采矿场地外部压占面积为</w:t>
      </w:r>
      <w:r>
        <w:rPr>
          <w:rFonts w:hint="eastAsia" w:ascii="宋体" w:hAnsi="宋体" w:eastAsia="宋体" w:cs="宋体"/>
          <w:sz w:val="28"/>
          <w:szCs w:val="28"/>
          <w:lang w:val="en-US" w:eastAsia="zh-CN"/>
        </w:rPr>
        <w:t>0.24</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，破坏了原有的地形地貌，预测对地形地貌景观的影响程度属较轻。</w:t>
      </w:r>
    </w:p>
    <w:p w14:paraId="75E7D9A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⑶含水层破坏预测分析</w:t>
      </w:r>
    </w:p>
    <w:p w14:paraId="31D7B0FC">
      <w:pPr>
        <w:widowControl w:val="0"/>
        <w:kinsoku/>
        <w:adjustRightInd/>
        <w:snapToGrid/>
        <w:spacing w:line="360" w:lineRule="auto"/>
        <w:ind w:firstLine="562" w:firstLineChars="200"/>
        <w:jc w:val="both"/>
        <w:rPr>
          <w:rFonts w:hint="eastAsia" w:ascii="宋体" w:hAnsi="宋体" w:eastAsia="宋体" w:cs="宋体"/>
          <w:spacing w:val="-2"/>
          <w:sz w:val="28"/>
          <w:szCs w:val="28"/>
          <w:lang w:eastAsia="zh-CN"/>
        </w:rPr>
      </w:pPr>
      <w:r>
        <w:rPr>
          <w:rFonts w:hint="eastAsia" w:ascii="宋体" w:hAnsi="宋体" w:eastAsia="宋体" w:cs="宋体"/>
          <w:b/>
          <w:bCs/>
          <w:sz w:val="28"/>
          <w:szCs w:val="28"/>
          <w:lang w:eastAsia="zh-CN"/>
        </w:rPr>
        <w:t>近</w:t>
      </w:r>
      <w:r>
        <w:rPr>
          <w:rFonts w:hint="eastAsia" w:ascii="宋体" w:hAnsi="宋体" w:eastAsia="宋体" w:cs="宋体"/>
          <w:b/>
          <w:bCs/>
          <w:sz w:val="28"/>
          <w:szCs w:val="28"/>
          <w:lang w:val="en-US" w:eastAsia="zh-CN"/>
        </w:rPr>
        <w:t>3</w:t>
      </w:r>
      <w:r>
        <w:rPr>
          <w:rFonts w:hint="eastAsia" w:ascii="宋体" w:hAnsi="宋体" w:eastAsia="宋体" w:cs="宋体"/>
          <w:b/>
          <w:bCs/>
          <w:sz w:val="28"/>
          <w:szCs w:val="28"/>
          <w:lang w:eastAsia="zh-CN"/>
        </w:rPr>
        <w:t>年预测</w:t>
      </w:r>
      <w:r>
        <w:rPr>
          <w:rFonts w:hint="eastAsia" w:ascii="宋体" w:hAnsi="宋体" w:eastAsia="宋体" w:cs="宋体"/>
          <w:sz w:val="28"/>
          <w:szCs w:val="28"/>
          <w:lang w:eastAsia="zh-CN"/>
        </w:rPr>
        <w:t>：近</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年露天采场开采面积为</w:t>
      </w:r>
      <w:r>
        <w:rPr>
          <w:rFonts w:hint="eastAsia" w:ascii="宋体" w:hAnsi="宋体" w:eastAsia="宋体" w:cs="宋体"/>
          <w:spacing w:val="-2"/>
          <w:sz w:val="28"/>
          <w:szCs w:val="28"/>
          <w:lang w:val="en-US" w:eastAsia="zh-CN"/>
        </w:rPr>
        <w:t>40</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w:t>
      </w:r>
      <w:r>
        <w:rPr>
          <w:rFonts w:hint="eastAsia" w:ascii="宋体" w:hAnsi="宋体" w:eastAsia="宋体" w:cs="宋体"/>
          <w:spacing w:val="-2"/>
          <w:sz w:val="28"/>
          <w:szCs w:val="28"/>
          <w:lang w:eastAsia="zh-CN"/>
        </w:rPr>
        <w:t>最低开采标高为</w:t>
      </w:r>
      <w:r>
        <w:rPr>
          <w:rFonts w:hint="eastAsia" w:ascii="宋体" w:hAnsi="宋体" w:eastAsia="宋体" w:cs="宋体"/>
          <w:sz w:val="28"/>
          <w:szCs w:val="28"/>
          <w:lang w:eastAsia="zh-CN"/>
        </w:rPr>
        <w:t>2868m，最终开采高差</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m，</w:t>
      </w:r>
      <w:r>
        <w:rPr>
          <w:rFonts w:hint="eastAsia" w:ascii="宋体" w:hAnsi="宋体" w:eastAsia="宋体" w:cs="宋体"/>
          <w:spacing w:val="-2"/>
          <w:sz w:val="28"/>
          <w:szCs w:val="28"/>
          <w:lang w:eastAsia="zh-CN"/>
        </w:rPr>
        <w:t>高于当地地下水位线，矿区开采不会对含水层结构造成破坏。矿区附近无水源供水工程，矿山建设对含水层结构也不会产生破坏。</w:t>
      </w:r>
    </w:p>
    <w:p w14:paraId="3229266D">
      <w:pPr>
        <w:widowControl w:val="0"/>
        <w:kinsoku/>
        <w:adjustRightInd/>
        <w:snapToGrid/>
        <w:spacing w:line="360" w:lineRule="auto"/>
        <w:ind w:firstLine="562" w:firstLineChars="200"/>
        <w:jc w:val="both"/>
        <w:rPr>
          <w:rFonts w:hint="eastAsia" w:ascii="宋体" w:hAnsi="宋体" w:eastAsia="宋体" w:cs="宋体"/>
          <w:sz w:val="28"/>
          <w:szCs w:val="28"/>
          <w:lang w:eastAsia="zh-CN"/>
        </w:rPr>
      </w:pPr>
      <w:r>
        <w:rPr>
          <w:rFonts w:hint="eastAsia" w:ascii="宋体" w:hAnsi="宋体" w:eastAsia="宋体" w:cs="宋体"/>
          <w:b/>
          <w:bCs/>
          <w:sz w:val="28"/>
          <w:szCs w:val="28"/>
          <w:lang w:eastAsia="zh-CN"/>
        </w:rPr>
        <w:t>开采终了预测：</w:t>
      </w:r>
      <w:r>
        <w:rPr>
          <w:rFonts w:hint="eastAsia" w:ascii="宋体" w:hAnsi="宋体" w:eastAsia="宋体" w:cs="宋体"/>
          <w:sz w:val="28"/>
          <w:szCs w:val="28"/>
          <w:lang w:eastAsia="zh-CN"/>
        </w:rPr>
        <w:t>服务年限结束时，露天采场开采范围面积为</w:t>
      </w:r>
      <w:r>
        <w:rPr>
          <w:rFonts w:hint="eastAsia" w:ascii="宋体" w:hAnsi="宋体" w:eastAsia="宋体" w:cs="宋体"/>
          <w:sz w:val="28"/>
          <w:szCs w:val="28"/>
          <w:lang w:val="en-US" w:eastAsia="zh-CN"/>
        </w:rPr>
        <w:t>100</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w:t>
      </w:r>
      <w:r>
        <w:rPr>
          <w:rFonts w:hint="eastAsia" w:ascii="宋体" w:hAnsi="宋体" w:eastAsia="宋体" w:cs="宋体"/>
          <w:spacing w:val="-2"/>
          <w:sz w:val="28"/>
          <w:szCs w:val="28"/>
          <w:lang w:eastAsia="zh-CN"/>
        </w:rPr>
        <w:t>最低开采标高为</w:t>
      </w:r>
      <w:r>
        <w:rPr>
          <w:rFonts w:hint="eastAsia" w:ascii="宋体" w:hAnsi="宋体" w:eastAsia="宋体" w:cs="宋体"/>
          <w:sz w:val="28"/>
          <w:szCs w:val="28"/>
          <w:lang w:eastAsia="zh-CN"/>
        </w:rPr>
        <w:t>2868m，最终开采高差</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m，</w:t>
      </w:r>
      <w:r>
        <w:rPr>
          <w:rFonts w:hint="eastAsia" w:ascii="宋体" w:hAnsi="宋体" w:eastAsia="宋体" w:cs="宋体"/>
          <w:spacing w:val="-2"/>
          <w:sz w:val="28"/>
          <w:szCs w:val="28"/>
          <w:lang w:eastAsia="zh-CN"/>
        </w:rPr>
        <w:t>高于当地地下水位线，矿区开采不会对含水层结构造成破坏。矿区附近无水源供水工程，矿山建设对含水层结构也不会产生破坏。</w:t>
      </w:r>
    </w:p>
    <w:p w14:paraId="6FB3EE4C">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综上所述，预测评估矿山开采活动对含水层不会造成破坏，因为开采深度为</w:t>
      </w:r>
      <w:r>
        <w:rPr>
          <w:rFonts w:hint="eastAsia" w:ascii="宋体" w:hAnsi="宋体" w:eastAsia="宋体" w:cs="宋体"/>
          <w:sz w:val="28"/>
          <w:szCs w:val="28"/>
          <w:lang w:val="en-US" w:eastAsia="zh-CN"/>
        </w:rPr>
        <w:t>4m</w:t>
      </w:r>
      <w:r>
        <w:rPr>
          <w:rFonts w:hint="eastAsia" w:ascii="宋体" w:hAnsi="宋体" w:eastAsia="宋体" w:cs="宋体"/>
          <w:sz w:val="28"/>
          <w:szCs w:val="28"/>
          <w:lang w:eastAsia="zh-CN"/>
        </w:rPr>
        <w:t>，非主要含水层，对附近居民供水影响较小，危害性较小。</w:t>
      </w:r>
    </w:p>
    <w:p w14:paraId="64C9DD7B">
      <w:pPr>
        <w:pStyle w:val="6"/>
        <w:widowControl w:val="0"/>
        <w:kinsoku/>
        <w:adjustRightInd/>
        <w:snapToGrid/>
        <w:spacing w:line="360" w:lineRule="auto"/>
        <w:ind w:firstLine="560" w:firstLineChars="200"/>
        <w:jc w:val="both"/>
        <w:rPr>
          <w:rFonts w:hint="eastAsia" w:ascii="宋体" w:hAnsi="宋体" w:eastAsia="宋体" w:cs="宋体"/>
          <w:sz w:val="28"/>
          <w:szCs w:val="28"/>
          <w:lang w:eastAsia="zh-CN"/>
        </w:rPr>
      </w:pPr>
      <w:bookmarkStart w:id="105" w:name="bookmark97"/>
      <w:bookmarkEnd w:id="105"/>
      <w:bookmarkStart w:id="106" w:name="bookmark98"/>
      <w:bookmarkEnd w:id="106"/>
      <w:r>
        <w:rPr>
          <w:rFonts w:hint="eastAsia" w:ascii="宋体" w:hAnsi="宋体" w:eastAsia="宋体" w:cs="宋体"/>
          <w:sz w:val="28"/>
          <w:szCs w:val="28"/>
          <w:lang w:eastAsia="zh-CN"/>
        </w:rPr>
        <w:t>⑷土地损毁预测分析</w:t>
      </w:r>
    </w:p>
    <w:p w14:paraId="2F42ABE6">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①损毁面积及损毁形式</w:t>
      </w:r>
    </w:p>
    <w:p w14:paraId="2BC965D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未来采矿权内采矿活动时将挖损土地面积</w:t>
      </w:r>
      <w:r>
        <w:rPr>
          <w:rFonts w:hint="eastAsia" w:ascii="宋体" w:hAnsi="宋体" w:eastAsia="宋体" w:cs="宋体"/>
          <w:sz w:val="28"/>
          <w:szCs w:val="28"/>
          <w:lang w:val="en-US" w:eastAsia="zh-CN"/>
        </w:rPr>
        <w:t>100</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，采矿场地挖损高度</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m；工业场地修建于采矿权北侧</w:t>
      </w:r>
      <w:r>
        <w:rPr>
          <w:rFonts w:hint="eastAsia" w:ascii="宋体" w:hAnsi="宋体" w:eastAsia="宋体" w:cs="宋体"/>
          <w:sz w:val="28"/>
          <w:szCs w:val="28"/>
          <w:lang w:val="en-US" w:eastAsia="zh-CN"/>
        </w:rPr>
        <w:t>30m</w:t>
      </w:r>
      <w:r>
        <w:rPr>
          <w:rFonts w:hint="eastAsia" w:ascii="宋体" w:hAnsi="宋体" w:eastAsia="宋体" w:cs="宋体"/>
          <w:sz w:val="28"/>
          <w:szCs w:val="28"/>
          <w:lang w:eastAsia="zh-CN"/>
        </w:rPr>
        <w:t>处，破坏原有的地形地貌，同时对土地造成压占破坏，面积为</w:t>
      </w:r>
      <w:r>
        <w:rPr>
          <w:rFonts w:hint="eastAsia" w:ascii="宋体" w:hAnsi="宋体" w:eastAsia="宋体" w:cs="宋体"/>
          <w:sz w:val="28"/>
          <w:szCs w:val="28"/>
          <w:lang w:val="en-US" w:eastAsia="zh-CN"/>
        </w:rPr>
        <w:t>4.23</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；矿山道路破坏原有的地形地貌，同时对土地造成压占破坏，面积为</w:t>
      </w:r>
      <w:r>
        <w:rPr>
          <w:rFonts w:hint="eastAsia" w:ascii="宋体" w:hAnsi="宋体" w:eastAsia="宋体" w:cs="宋体"/>
          <w:sz w:val="28"/>
          <w:szCs w:val="28"/>
          <w:lang w:val="en-US" w:eastAsia="zh-CN"/>
        </w:rPr>
        <w:t>0.24</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w:t>
      </w:r>
    </w:p>
    <w:p w14:paraId="68545699">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②损毁程度</w:t>
      </w:r>
    </w:p>
    <w:p w14:paraId="068B0A98">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土地损毁程度既是影响修复方向的关键限制因素，更是影响其修复工程量的主要因素，其破坏程度评价体系的建立是关键。本项目损毁土地根据损毁类型划分为挖损和压占两类，评价等级确定为轻度损毁、中度损毁和重度损毁三个等级：Ⅰ级破坏（轻度损毁）、Ⅲ级破坏（中度损毁）、Ⅲ级破坏（重度损毁）具体评价指标详见表3-8、3-9。</w:t>
      </w:r>
    </w:p>
    <w:p w14:paraId="1F2228FC">
      <w:pPr>
        <w:jc w:val="center"/>
        <w:rPr>
          <w:rFonts w:hint="eastAsia" w:ascii="宋体" w:hAnsi="宋体" w:eastAsia="宋体" w:cs="宋体"/>
          <w:b/>
          <w:bCs/>
          <w:szCs w:val="24"/>
          <w:lang w:eastAsia="zh-CN"/>
        </w:rPr>
      </w:pPr>
      <w:bookmarkStart w:id="107" w:name="bookmark260"/>
      <w:bookmarkEnd w:id="107"/>
      <w:r>
        <w:rPr>
          <w:rFonts w:hint="eastAsia" w:ascii="宋体" w:hAnsi="宋体" w:eastAsia="宋体" w:cs="宋体"/>
          <w:b/>
          <w:bCs/>
          <w:szCs w:val="24"/>
          <w:lang w:eastAsia="zh-CN"/>
        </w:rPr>
        <w:t>表3-8  挖损土地损毁程度评价因素及等级标准表</w:t>
      </w:r>
    </w:p>
    <w:tbl>
      <w:tblPr>
        <w:tblStyle w:val="22"/>
        <w:tblW w:w="829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644"/>
        <w:gridCol w:w="1885"/>
        <w:gridCol w:w="2265"/>
        <w:gridCol w:w="1498"/>
      </w:tblGrid>
      <w:tr w14:paraId="33DC3C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jc w:val="center"/>
        </w:trPr>
        <w:tc>
          <w:tcPr>
            <w:tcW w:w="2644" w:type="dxa"/>
            <w:vMerge w:val="restart"/>
            <w:tcBorders>
              <w:bottom w:val="nil"/>
            </w:tcBorders>
            <w:vAlign w:val="center"/>
          </w:tcPr>
          <w:p w14:paraId="7C8B1520">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评价因子</w:t>
            </w:r>
          </w:p>
        </w:tc>
        <w:tc>
          <w:tcPr>
            <w:tcW w:w="5648" w:type="dxa"/>
            <w:gridSpan w:val="3"/>
            <w:vAlign w:val="center"/>
          </w:tcPr>
          <w:p w14:paraId="7EB654B2">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评价等级</w:t>
            </w:r>
          </w:p>
        </w:tc>
      </w:tr>
      <w:tr w14:paraId="3D2151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jc w:val="center"/>
        </w:trPr>
        <w:tc>
          <w:tcPr>
            <w:tcW w:w="2644" w:type="dxa"/>
            <w:vMerge w:val="continue"/>
            <w:tcBorders>
              <w:top w:val="nil"/>
            </w:tcBorders>
            <w:vAlign w:val="center"/>
          </w:tcPr>
          <w:p w14:paraId="2306327B">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pPr>
          </w:p>
        </w:tc>
        <w:tc>
          <w:tcPr>
            <w:tcW w:w="1885" w:type="dxa"/>
            <w:vAlign w:val="center"/>
          </w:tcPr>
          <w:p w14:paraId="3FCB6436">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轻度损毁</w:t>
            </w:r>
          </w:p>
        </w:tc>
        <w:tc>
          <w:tcPr>
            <w:tcW w:w="2265" w:type="dxa"/>
            <w:vAlign w:val="center"/>
          </w:tcPr>
          <w:p w14:paraId="78D0490D">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2"/>
                <w:sz w:val="21"/>
                <w:szCs w:val="21"/>
              </w:rPr>
              <w:t>中度损毁</w:t>
            </w:r>
          </w:p>
        </w:tc>
        <w:tc>
          <w:tcPr>
            <w:tcW w:w="1498" w:type="dxa"/>
            <w:vAlign w:val="center"/>
          </w:tcPr>
          <w:p w14:paraId="698F64F7">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重度损毁</w:t>
            </w:r>
          </w:p>
        </w:tc>
      </w:tr>
      <w:tr w14:paraId="23B1ED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jc w:val="center"/>
        </w:trPr>
        <w:tc>
          <w:tcPr>
            <w:tcW w:w="2644" w:type="dxa"/>
            <w:vAlign w:val="center"/>
          </w:tcPr>
          <w:p w14:paraId="4245C85C">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挖损面积</w:t>
            </w:r>
          </w:p>
        </w:tc>
        <w:tc>
          <w:tcPr>
            <w:tcW w:w="1885" w:type="dxa"/>
            <w:vAlign w:val="center"/>
          </w:tcPr>
          <w:p w14:paraId="0A244BB7">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22"/>
                <w:sz w:val="21"/>
                <w:szCs w:val="21"/>
              </w:rPr>
              <w:t>&lt;1.0</w:t>
            </w:r>
            <w:r>
              <w:rPr>
                <w:sz w:val="21"/>
                <w:szCs w:val="21"/>
              </w:rPr>
              <w:t>hm</w:t>
            </w:r>
            <w:r>
              <w:rPr>
                <w:rFonts w:hint="eastAsia"/>
                <w:sz w:val="21"/>
                <w:szCs w:val="21"/>
                <w:vertAlign w:val="superscript"/>
                <w:lang w:eastAsia="zh-CN"/>
              </w:rPr>
              <w:t>2</w:t>
            </w:r>
          </w:p>
        </w:tc>
        <w:tc>
          <w:tcPr>
            <w:tcW w:w="2265" w:type="dxa"/>
            <w:vAlign w:val="center"/>
          </w:tcPr>
          <w:p w14:paraId="2D795A3D">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3"/>
                <w:sz w:val="21"/>
                <w:szCs w:val="21"/>
              </w:rPr>
              <w:t>1.0～5.0</w:t>
            </w:r>
            <w:r>
              <w:rPr>
                <w:sz w:val="21"/>
                <w:szCs w:val="21"/>
              </w:rPr>
              <w:t>hm</w:t>
            </w:r>
            <w:r>
              <w:rPr>
                <w:rFonts w:hint="eastAsia"/>
                <w:sz w:val="21"/>
                <w:szCs w:val="21"/>
                <w:vertAlign w:val="superscript"/>
                <w:lang w:eastAsia="zh-CN"/>
              </w:rPr>
              <w:t>2</w:t>
            </w:r>
          </w:p>
        </w:tc>
        <w:tc>
          <w:tcPr>
            <w:tcW w:w="1498" w:type="dxa"/>
            <w:vAlign w:val="center"/>
          </w:tcPr>
          <w:p w14:paraId="238796D3">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22"/>
                <w:sz w:val="21"/>
                <w:szCs w:val="21"/>
              </w:rPr>
              <w:t>&gt;5.0</w:t>
            </w:r>
            <w:r>
              <w:rPr>
                <w:sz w:val="21"/>
                <w:szCs w:val="21"/>
              </w:rPr>
              <w:t>hm</w:t>
            </w:r>
            <w:r>
              <w:rPr>
                <w:rFonts w:hint="eastAsia"/>
                <w:sz w:val="21"/>
                <w:szCs w:val="21"/>
                <w:vertAlign w:val="superscript"/>
                <w:lang w:eastAsia="zh-CN"/>
              </w:rPr>
              <w:t>2</w:t>
            </w:r>
          </w:p>
        </w:tc>
      </w:tr>
      <w:tr w14:paraId="47D70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jc w:val="center"/>
        </w:trPr>
        <w:tc>
          <w:tcPr>
            <w:tcW w:w="2644" w:type="dxa"/>
            <w:vAlign w:val="center"/>
          </w:tcPr>
          <w:p w14:paraId="7BE2C19C">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挖损深度</w:t>
            </w:r>
          </w:p>
        </w:tc>
        <w:tc>
          <w:tcPr>
            <w:tcW w:w="1885" w:type="dxa"/>
            <w:vAlign w:val="center"/>
          </w:tcPr>
          <w:p w14:paraId="452A6778">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21"/>
                <w:position w:val="1"/>
                <w:sz w:val="21"/>
                <w:szCs w:val="21"/>
              </w:rPr>
              <w:t>&lt;2.0m</w:t>
            </w:r>
          </w:p>
        </w:tc>
        <w:tc>
          <w:tcPr>
            <w:tcW w:w="2265" w:type="dxa"/>
            <w:vAlign w:val="center"/>
          </w:tcPr>
          <w:p w14:paraId="06D052B8">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4"/>
                <w:position w:val="1"/>
                <w:sz w:val="21"/>
                <w:szCs w:val="21"/>
              </w:rPr>
              <w:t>2.0～5.0m</w:t>
            </w:r>
          </w:p>
        </w:tc>
        <w:tc>
          <w:tcPr>
            <w:tcW w:w="1498" w:type="dxa"/>
            <w:vAlign w:val="center"/>
          </w:tcPr>
          <w:p w14:paraId="01021472">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21"/>
                <w:position w:val="1"/>
                <w:sz w:val="21"/>
                <w:szCs w:val="21"/>
              </w:rPr>
              <w:t>&gt;5.0m</w:t>
            </w:r>
          </w:p>
        </w:tc>
      </w:tr>
    </w:tbl>
    <w:p w14:paraId="1ECEA73F">
      <w:pPr>
        <w:jc w:val="center"/>
        <w:rPr>
          <w:rFonts w:hint="eastAsia" w:ascii="宋体" w:hAnsi="宋体" w:eastAsia="宋体" w:cs="宋体"/>
          <w:b/>
          <w:bCs/>
          <w:szCs w:val="24"/>
          <w:lang w:eastAsia="zh-CN"/>
        </w:rPr>
      </w:pPr>
      <w:r>
        <w:rPr>
          <w:rFonts w:hint="eastAsia" w:ascii="宋体" w:hAnsi="宋体" w:eastAsia="宋体" w:cs="宋体"/>
          <w:b/>
          <w:bCs/>
          <w:szCs w:val="24"/>
          <w:lang w:eastAsia="zh-CN"/>
        </w:rPr>
        <w:t>表3-9  压占土地损毁程度评价因素及等级标准表</w:t>
      </w:r>
    </w:p>
    <w:tbl>
      <w:tblPr>
        <w:tblStyle w:val="22"/>
        <w:tblW w:w="828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16"/>
        <w:gridCol w:w="2044"/>
        <w:gridCol w:w="1952"/>
        <w:gridCol w:w="1471"/>
      </w:tblGrid>
      <w:tr w14:paraId="300AF2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 w:hRule="atLeast"/>
          <w:jc w:val="center"/>
        </w:trPr>
        <w:tc>
          <w:tcPr>
            <w:tcW w:w="2816" w:type="dxa"/>
            <w:vMerge w:val="restart"/>
            <w:tcBorders>
              <w:bottom w:val="nil"/>
            </w:tcBorders>
            <w:vAlign w:val="center"/>
          </w:tcPr>
          <w:p w14:paraId="78F2E3D1">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评价因子</w:t>
            </w:r>
          </w:p>
        </w:tc>
        <w:tc>
          <w:tcPr>
            <w:tcW w:w="5467" w:type="dxa"/>
            <w:gridSpan w:val="3"/>
            <w:vAlign w:val="center"/>
          </w:tcPr>
          <w:p w14:paraId="191AB127">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评价等级</w:t>
            </w:r>
          </w:p>
        </w:tc>
      </w:tr>
      <w:tr w14:paraId="1B768E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jc w:val="center"/>
        </w:trPr>
        <w:tc>
          <w:tcPr>
            <w:tcW w:w="2816" w:type="dxa"/>
            <w:vMerge w:val="continue"/>
            <w:tcBorders>
              <w:top w:val="nil"/>
            </w:tcBorders>
            <w:vAlign w:val="center"/>
          </w:tcPr>
          <w:p w14:paraId="2EF757A5">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pPr>
          </w:p>
        </w:tc>
        <w:tc>
          <w:tcPr>
            <w:tcW w:w="2044" w:type="dxa"/>
            <w:vAlign w:val="center"/>
          </w:tcPr>
          <w:p w14:paraId="61EA1A40">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轻度损毁</w:t>
            </w:r>
          </w:p>
        </w:tc>
        <w:tc>
          <w:tcPr>
            <w:tcW w:w="1952" w:type="dxa"/>
            <w:vAlign w:val="center"/>
          </w:tcPr>
          <w:p w14:paraId="6CFDE3C3">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2"/>
                <w:sz w:val="21"/>
                <w:szCs w:val="21"/>
              </w:rPr>
              <w:t>中度损毁</w:t>
            </w:r>
          </w:p>
        </w:tc>
        <w:tc>
          <w:tcPr>
            <w:tcW w:w="1471" w:type="dxa"/>
            <w:vAlign w:val="center"/>
          </w:tcPr>
          <w:p w14:paraId="631799DD">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重度损毁</w:t>
            </w:r>
          </w:p>
        </w:tc>
      </w:tr>
      <w:tr w14:paraId="4A4B55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jc w:val="center"/>
        </w:trPr>
        <w:tc>
          <w:tcPr>
            <w:tcW w:w="2816" w:type="dxa"/>
            <w:vAlign w:val="center"/>
          </w:tcPr>
          <w:p w14:paraId="2E3354BF">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压占面积</w:t>
            </w:r>
          </w:p>
        </w:tc>
        <w:tc>
          <w:tcPr>
            <w:tcW w:w="2044" w:type="dxa"/>
            <w:vAlign w:val="center"/>
          </w:tcPr>
          <w:p w14:paraId="0246F1B1">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lang w:eastAsia="zh-CN"/>
              </w:rPr>
            </w:pPr>
            <w:r>
              <w:rPr>
                <w:spacing w:val="22"/>
                <w:sz w:val="21"/>
                <w:szCs w:val="21"/>
              </w:rPr>
              <w:t>&lt;1.0</w:t>
            </w:r>
            <w:r>
              <w:rPr>
                <w:sz w:val="21"/>
                <w:szCs w:val="21"/>
              </w:rPr>
              <w:t>hm</w:t>
            </w:r>
            <w:r>
              <w:rPr>
                <w:rFonts w:hint="eastAsia"/>
                <w:sz w:val="21"/>
                <w:szCs w:val="21"/>
                <w:vertAlign w:val="superscript"/>
                <w:lang w:eastAsia="zh-CN"/>
              </w:rPr>
              <w:t>2</w:t>
            </w:r>
          </w:p>
        </w:tc>
        <w:tc>
          <w:tcPr>
            <w:tcW w:w="1952" w:type="dxa"/>
            <w:vAlign w:val="center"/>
          </w:tcPr>
          <w:p w14:paraId="76B2BFA8">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3"/>
                <w:sz w:val="21"/>
                <w:szCs w:val="21"/>
              </w:rPr>
              <w:t>1.0—5.0</w:t>
            </w:r>
            <w:r>
              <w:rPr>
                <w:sz w:val="21"/>
                <w:szCs w:val="21"/>
              </w:rPr>
              <w:t>hm</w:t>
            </w:r>
            <w:r>
              <w:rPr>
                <w:rFonts w:hint="eastAsia"/>
                <w:sz w:val="21"/>
                <w:szCs w:val="21"/>
                <w:vertAlign w:val="superscript"/>
                <w:lang w:eastAsia="zh-CN"/>
              </w:rPr>
              <w:t>2</w:t>
            </w:r>
          </w:p>
        </w:tc>
        <w:tc>
          <w:tcPr>
            <w:tcW w:w="1471" w:type="dxa"/>
            <w:vAlign w:val="center"/>
          </w:tcPr>
          <w:p w14:paraId="426F7E41">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22"/>
                <w:sz w:val="21"/>
                <w:szCs w:val="21"/>
              </w:rPr>
              <w:t>&gt;5.0</w:t>
            </w:r>
            <w:r>
              <w:rPr>
                <w:sz w:val="21"/>
                <w:szCs w:val="21"/>
              </w:rPr>
              <w:t>hm</w:t>
            </w:r>
            <w:r>
              <w:rPr>
                <w:rFonts w:hint="eastAsia"/>
                <w:sz w:val="21"/>
                <w:szCs w:val="21"/>
                <w:vertAlign w:val="superscript"/>
                <w:lang w:eastAsia="zh-CN"/>
              </w:rPr>
              <w:t>2</w:t>
            </w:r>
          </w:p>
        </w:tc>
      </w:tr>
      <w:tr w14:paraId="7C42F5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2816" w:type="dxa"/>
            <w:vAlign w:val="center"/>
          </w:tcPr>
          <w:p w14:paraId="471C4A85">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堆积高度</w:t>
            </w:r>
          </w:p>
        </w:tc>
        <w:tc>
          <w:tcPr>
            <w:tcW w:w="2044" w:type="dxa"/>
            <w:vAlign w:val="center"/>
          </w:tcPr>
          <w:p w14:paraId="2363B88B">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16"/>
                <w:w w:val="115"/>
                <w:position w:val="1"/>
                <w:sz w:val="21"/>
                <w:szCs w:val="21"/>
              </w:rPr>
              <w:t>&lt;5m</w:t>
            </w:r>
          </w:p>
        </w:tc>
        <w:tc>
          <w:tcPr>
            <w:tcW w:w="1952" w:type="dxa"/>
            <w:vAlign w:val="center"/>
          </w:tcPr>
          <w:p w14:paraId="43AB795F">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4"/>
                <w:position w:val="1"/>
                <w:sz w:val="21"/>
                <w:szCs w:val="21"/>
              </w:rPr>
              <w:t>5～10m</w:t>
            </w:r>
          </w:p>
        </w:tc>
        <w:tc>
          <w:tcPr>
            <w:tcW w:w="1471" w:type="dxa"/>
            <w:vAlign w:val="center"/>
          </w:tcPr>
          <w:p w14:paraId="245C194A">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24"/>
                <w:position w:val="1"/>
                <w:sz w:val="21"/>
                <w:szCs w:val="21"/>
              </w:rPr>
              <w:t>&gt;10m</w:t>
            </w:r>
          </w:p>
        </w:tc>
      </w:tr>
      <w:tr w14:paraId="1030F0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jc w:val="center"/>
        </w:trPr>
        <w:tc>
          <w:tcPr>
            <w:tcW w:w="2816" w:type="dxa"/>
            <w:vAlign w:val="center"/>
          </w:tcPr>
          <w:p w14:paraId="2FC9D834">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硬化面积</w:t>
            </w:r>
          </w:p>
        </w:tc>
        <w:tc>
          <w:tcPr>
            <w:tcW w:w="2044" w:type="dxa"/>
            <w:vAlign w:val="center"/>
          </w:tcPr>
          <w:p w14:paraId="6D780A25">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1"/>
                <w:position w:val="1"/>
                <w:sz w:val="21"/>
                <w:szCs w:val="21"/>
              </w:rPr>
              <w:t>≤30%</w:t>
            </w:r>
          </w:p>
        </w:tc>
        <w:tc>
          <w:tcPr>
            <w:tcW w:w="1952" w:type="dxa"/>
            <w:vAlign w:val="center"/>
          </w:tcPr>
          <w:p w14:paraId="312A23AE">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3"/>
                <w:position w:val="1"/>
                <w:sz w:val="21"/>
                <w:szCs w:val="21"/>
              </w:rPr>
              <w:t>30%～60%</w:t>
            </w:r>
          </w:p>
        </w:tc>
        <w:tc>
          <w:tcPr>
            <w:tcW w:w="1471" w:type="dxa"/>
            <w:vAlign w:val="center"/>
          </w:tcPr>
          <w:p w14:paraId="38A795F7">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24"/>
                <w:position w:val="1"/>
                <w:sz w:val="21"/>
                <w:szCs w:val="21"/>
              </w:rPr>
              <w:t>&gt;60%</w:t>
            </w:r>
          </w:p>
        </w:tc>
      </w:tr>
      <w:tr w14:paraId="1D0080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jc w:val="center"/>
        </w:trPr>
        <w:tc>
          <w:tcPr>
            <w:tcW w:w="2816" w:type="dxa"/>
            <w:vAlign w:val="center"/>
          </w:tcPr>
          <w:p w14:paraId="408F30A3">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硬化厚度</w:t>
            </w:r>
          </w:p>
        </w:tc>
        <w:tc>
          <w:tcPr>
            <w:tcW w:w="2044" w:type="dxa"/>
            <w:vAlign w:val="center"/>
          </w:tcPr>
          <w:p w14:paraId="5049B1BC">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19"/>
                <w:w w:val="106"/>
                <w:position w:val="1"/>
                <w:sz w:val="21"/>
                <w:szCs w:val="21"/>
              </w:rPr>
              <w:t>&lt;5cm</w:t>
            </w:r>
          </w:p>
        </w:tc>
        <w:tc>
          <w:tcPr>
            <w:tcW w:w="1952" w:type="dxa"/>
            <w:vAlign w:val="center"/>
          </w:tcPr>
          <w:p w14:paraId="36344EF1">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5"/>
                <w:position w:val="1"/>
                <w:sz w:val="21"/>
                <w:szCs w:val="21"/>
              </w:rPr>
              <w:t>5～10</w:t>
            </w:r>
            <w:r>
              <w:rPr>
                <w:position w:val="1"/>
                <w:sz w:val="21"/>
                <w:szCs w:val="21"/>
              </w:rPr>
              <w:t>cm</w:t>
            </w:r>
          </w:p>
        </w:tc>
        <w:tc>
          <w:tcPr>
            <w:tcW w:w="1471" w:type="dxa"/>
            <w:vAlign w:val="center"/>
          </w:tcPr>
          <w:p w14:paraId="0FC53EA2">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21"/>
                <w:position w:val="1"/>
                <w:sz w:val="21"/>
                <w:szCs w:val="21"/>
              </w:rPr>
              <w:t>&gt;10cm</w:t>
            </w:r>
          </w:p>
        </w:tc>
      </w:tr>
      <w:tr w14:paraId="32F4F8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jc w:val="center"/>
        </w:trPr>
        <w:tc>
          <w:tcPr>
            <w:tcW w:w="2816" w:type="dxa"/>
            <w:vAlign w:val="center"/>
          </w:tcPr>
          <w:p w14:paraId="374DA7EE">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6"/>
                <w:sz w:val="21"/>
                <w:szCs w:val="21"/>
              </w:rPr>
              <w:t>污染程度</w:t>
            </w:r>
          </w:p>
        </w:tc>
        <w:tc>
          <w:tcPr>
            <w:tcW w:w="2044" w:type="dxa"/>
            <w:vAlign w:val="center"/>
          </w:tcPr>
          <w:p w14:paraId="3930269C">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8"/>
                <w:sz w:val="21"/>
                <w:szCs w:val="21"/>
              </w:rPr>
              <w:t>未污染或轻度污染</w:t>
            </w:r>
          </w:p>
        </w:tc>
        <w:tc>
          <w:tcPr>
            <w:tcW w:w="1952" w:type="dxa"/>
            <w:vAlign w:val="center"/>
          </w:tcPr>
          <w:p w14:paraId="0745FDA6">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2"/>
                <w:sz w:val="21"/>
                <w:szCs w:val="21"/>
              </w:rPr>
              <w:t>中度污染</w:t>
            </w:r>
          </w:p>
        </w:tc>
        <w:tc>
          <w:tcPr>
            <w:tcW w:w="1471" w:type="dxa"/>
            <w:vAlign w:val="center"/>
          </w:tcPr>
          <w:p w14:paraId="23208E04">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spacing w:val="7"/>
                <w:sz w:val="21"/>
                <w:szCs w:val="21"/>
              </w:rPr>
              <w:t>重度污染</w:t>
            </w:r>
          </w:p>
        </w:tc>
      </w:tr>
    </w:tbl>
    <w:p w14:paraId="7AF150C1">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现状条件下，在采矿区未进行了采矿活动。根据中华人民共和国地质矿产标准DZ/T0223-2011《矿山地质环境保护与恢复治理方案编制规范》附录E进行土地资源影响现状评估。工业场地利用原矿山工业场地，原矿山场地在采矿权北侧</w:t>
      </w:r>
      <w:r>
        <w:rPr>
          <w:rFonts w:hint="eastAsia" w:ascii="宋体" w:hAnsi="宋体" w:eastAsia="宋体" w:cs="宋体"/>
          <w:sz w:val="28"/>
          <w:szCs w:val="28"/>
          <w:lang w:val="en-US" w:eastAsia="zh-CN"/>
        </w:rPr>
        <w:t>30m处</w:t>
      </w:r>
      <w:r>
        <w:rPr>
          <w:rFonts w:hint="eastAsia" w:ascii="宋体" w:hAnsi="宋体" w:eastAsia="宋体" w:cs="宋体"/>
          <w:sz w:val="28"/>
          <w:szCs w:val="28"/>
          <w:lang w:eastAsia="zh-CN"/>
        </w:rPr>
        <w:t>，压占土地</w:t>
      </w:r>
      <w:r>
        <w:rPr>
          <w:rFonts w:hint="eastAsia" w:ascii="宋体" w:hAnsi="宋体" w:eastAsia="宋体" w:cs="宋体"/>
          <w:sz w:val="28"/>
          <w:szCs w:val="28"/>
          <w:lang w:val="en-US" w:eastAsia="zh-CN"/>
        </w:rPr>
        <w:t>4.23</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，压占面积不再增加，局部存在水泥硬化，硬化厚度10cm，预测评估对土地资源破坏和影响程度属中度；矿山道路利用矿山原有矿山道路，占地面积</w:t>
      </w:r>
      <w:r>
        <w:rPr>
          <w:rFonts w:hint="eastAsia" w:ascii="宋体" w:hAnsi="宋体" w:eastAsia="宋体" w:cs="宋体"/>
          <w:sz w:val="28"/>
          <w:szCs w:val="28"/>
          <w:lang w:val="en-US" w:eastAsia="zh-CN"/>
        </w:rPr>
        <w:t>0.24</w:t>
      </w:r>
      <w:r>
        <w:rPr>
          <w:rFonts w:hint="eastAsia" w:ascii="宋体" w:hAnsi="宋体" w:eastAsia="宋体" w:cs="宋体"/>
          <w:sz w:val="28"/>
          <w:szCs w:val="28"/>
          <w:lang w:eastAsia="zh-CN"/>
        </w:rPr>
        <w:t>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，对土地资源破坏和影响程度属轻度。</w:t>
      </w:r>
    </w:p>
    <w:p w14:paraId="16B3FA25">
      <w:pPr>
        <w:widowControl w:val="0"/>
        <w:kinsoku/>
        <w:adjustRightInd/>
        <w:snapToGrid/>
        <w:spacing w:line="360" w:lineRule="auto"/>
        <w:ind w:firstLine="562" w:firstLineChars="200"/>
        <w:jc w:val="both"/>
        <w:rPr>
          <w:rFonts w:hint="eastAsia" w:ascii="宋体" w:hAnsi="宋体" w:eastAsia="宋体" w:cs="宋体"/>
          <w:sz w:val="28"/>
          <w:szCs w:val="28"/>
          <w:lang w:eastAsia="zh-CN"/>
        </w:rPr>
      </w:pPr>
      <w:r>
        <w:rPr>
          <w:rFonts w:hint="eastAsia" w:ascii="宋体" w:hAnsi="宋体" w:eastAsia="宋体" w:cs="宋体"/>
          <w:b/>
          <w:bCs/>
          <w:sz w:val="28"/>
          <w:szCs w:val="28"/>
          <w:lang w:eastAsia="zh-CN"/>
        </w:rPr>
        <w:t>近</w:t>
      </w:r>
      <w:r>
        <w:rPr>
          <w:rFonts w:hint="eastAsia" w:ascii="宋体" w:hAnsi="宋体" w:eastAsia="宋体" w:cs="宋体"/>
          <w:b/>
          <w:bCs/>
          <w:sz w:val="28"/>
          <w:szCs w:val="28"/>
          <w:lang w:val="en-US" w:eastAsia="zh-CN"/>
        </w:rPr>
        <w:t>3</w:t>
      </w:r>
      <w:r>
        <w:rPr>
          <w:rFonts w:hint="eastAsia" w:ascii="宋体" w:hAnsi="宋体" w:eastAsia="宋体" w:cs="宋体"/>
          <w:b/>
          <w:bCs/>
          <w:sz w:val="28"/>
          <w:szCs w:val="28"/>
          <w:lang w:eastAsia="zh-CN"/>
        </w:rPr>
        <w:t>年预测：</w:t>
      </w:r>
      <w:r>
        <w:rPr>
          <w:rFonts w:hint="eastAsia" w:ascii="宋体" w:hAnsi="宋体" w:eastAsia="宋体" w:cs="宋体"/>
          <w:sz w:val="28"/>
          <w:szCs w:val="28"/>
          <w:lang w:eastAsia="zh-CN"/>
        </w:rPr>
        <w:t>近</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年采矿权内采矿活动时将挖损土地面积</w:t>
      </w:r>
      <w:r>
        <w:rPr>
          <w:rFonts w:hint="eastAsia" w:ascii="宋体" w:hAnsi="宋体" w:eastAsia="宋体" w:cs="宋体"/>
          <w:color w:val="auto"/>
          <w:sz w:val="28"/>
          <w:szCs w:val="28"/>
          <w:lang w:val="en-US" w:eastAsia="zh-CN"/>
        </w:rPr>
        <w:t>40</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，采矿场地挖损高度</w:t>
      </w:r>
      <w:r>
        <w:rPr>
          <w:rFonts w:hint="eastAsia" w:ascii="宋体" w:hAnsi="宋体" w:eastAsia="宋体" w:cs="宋体"/>
          <w:sz w:val="28"/>
          <w:szCs w:val="28"/>
          <w:lang w:val="en-US" w:eastAsia="zh-CN"/>
        </w:rPr>
        <w:t>50</w:t>
      </w:r>
      <w:r>
        <w:rPr>
          <w:rFonts w:hint="eastAsia" w:ascii="宋体" w:hAnsi="宋体" w:eastAsia="宋体" w:cs="宋体"/>
          <w:sz w:val="28"/>
          <w:szCs w:val="28"/>
          <w:lang w:eastAsia="zh-CN"/>
        </w:rPr>
        <w:t>m，预测评估采矿场地采矿活动对土地资源影响程度属重度；矿山已修建工业场地将继续压占土地资源，压占土地面积</w:t>
      </w:r>
      <w:r>
        <w:rPr>
          <w:rFonts w:hint="eastAsia" w:ascii="宋体" w:hAnsi="宋体" w:eastAsia="宋体" w:cs="宋体"/>
          <w:sz w:val="28"/>
          <w:szCs w:val="28"/>
          <w:lang w:val="en-US" w:eastAsia="zh-CN"/>
        </w:rPr>
        <w:t>4.23</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，压占面积不再增加，局部存在水泥硬化，硬化厚度10cm，预测评估对土地资源破坏和影响程度属中度；矿山道路大部分位于采矿场地外部，采矿场地外部压占面积为</w:t>
      </w:r>
      <w:r>
        <w:rPr>
          <w:rFonts w:hint="eastAsia" w:ascii="宋体" w:hAnsi="宋体" w:eastAsia="宋体" w:cs="宋体"/>
          <w:sz w:val="28"/>
          <w:szCs w:val="28"/>
          <w:lang w:val="en-US" w:eastAsia="zh-CN"/>
        </w:rPr>
        <w:t>0.24</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，预测评估对土地资源破坏和影响程度属轻度。</w:t>
      </w:r>
    </w:p>
    <w:p w14:paraId="11902500">
      <w:pPr>
        <w:widowControl w:val="0"/>
        <w:kinsoku/>
        <w:adjustRightInd/>
        <w:snapToGrid/>
        <w:spacing w:line="360" w:lineRule="auto"/>
        <w:ind w:firstLine="562" w:firstLineChars="200"/>
        <w:jc w:val="both"/>
        <w:rPr>
          <w:rFonts w:hint="eastAsia" w:ascii="宋体" w:hAnsi="宋体" w:eastAsia="宋体" w:cs="宋体"/>
          <w:sz w:val="28"/>
          <w:szCs w:val="28"/>
          <w:lang w:eastAsia="zh-CN"/>
        </w:rPr>
      </w:pPr>
      <w:bookmarkStart w:id="108" w:name="bookmark261"/>
      <w:bookmarkEnd w:id="108"/>
      <w:r>
        <w:rPr>
          <w:rFonts w:hint="eastAsia" w:ascii="宋体" w:hAnsi="宋体" w:eastAsia="宋体" w:cs="宋体"/>
          <w:b/>
          <w:bCs/>
          <w:sz w:val="28"/>
          <w:szCs w:val="28"/>
          <w:lang w:eastAsia="zh-CN"/>
        </w:rPr>
        <w:t>开采终了预测：</w:t>
      </w:r>
      <w:r>
        <w:rPr>
          <w:rFonts w:hint="eastAsia" w:ascii="宋体" w:hAnsi="宋体" w:eastAsia="宋体" w:cs="宋体"/>
          <w:sz w:val="28"/>
          <w:szCs w:val="28"/>
          <w:lang w:eastAsia="zh-CN"/>
        </w:rPr>
        <w:t>未来采矿活动时将挖损土地面积</w:t>
      </w:r>
      <w:r>
        <w:rPr>
          <w:rFonts w:hint="eastAsia" w:ascii="宋体" w:hAnsi="宋体" w:eastAsia="宋体" w:cs="宋体"/>
          <w:sz w:val="28"/>
          <w:szCs w:val="28"/>
          <w:lang w:val="en-US" w:eastAsia="zh-CN"/>
        </w:rPr>
        <w:t>100</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，采矿场地挖损高度</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m，预测评估采矿场地采矿活动对土地资源影响程度属重度，预测分析对土地资源破坏和影响程度属重度；矿山已修建工业场地将继续压占土地资源，压占土地面积</w:t>
      </w:r>
      <w:r>
        <w:rPr>
          <w:rFonts w:hint="eastAsia" w:ascii="宋体" w:hAnsi="宋体" w:eastAsia="宋体" w:cs="宋体"/>
          <w:sz w:val="28"/>
          <w:szCs w:val="28"/>
          <w:lang w:val="en-US" w:eastAsia="zh-CN"/>
        </w:rPr>
        <w:t>4.23</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，压占面积不再增加，局部存在水泥硬化，硬化厚度10cm，预测评估对土地资源破坏和影响程度属中度；矿山道路大部分位于采矿场地外部，采矿场地外部压占面积为0.</w:t>
      </w:r>
      <w:r>
        <w:rPr>
          <w:rFonts w:hint="eastAsia" w:ascii="宋体" w:hAnsi="宋体" w:eastAsia="宋体" w:cs="宋体"/>
          <w:sz w:val="28"/>
          <w:szCs w:val="28"/>
          <w:lang w:val="en-US" w:eastAsia="zh-CN"/>
        </w:rPr>
        <w:t>24</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，预测评估对土地资源破坏和影响程度属轻度。</w:t>
      </w:r>
    </w:p>
    <w:p w14:paraId="61E83662">
      <w:pPr>
        <w:jc w:val="center"/>
        <w:rPr>
          <w:rFonts w:hint="eastAsia" w:ascii="宋体" w:hAnsi="宋体" w:eastAsia="宋体" w:cs="宋体"/>
          <w:sz w:val="24"/>
          <w:szCs w:val="24"/>
          <w:lang w:eastAsia="zh-CN"/>
        </w:rPr>
      </w:pPr>
      <w:r>
        <w:rPr>
          <w:rFonts w:hint="eastAsia" w:ascii="宋体" w:hAnsi="宋体" w:eastAsia="宋体" w:cs="宋体"/>
          <w:b/>
          <w:bCs/>
          <w:szCs w:val="24"/>
          <w:lang w:eastAsia="zh-CN"/>
        </w:rPr>
        <w:t>表3-10  损毁程度综合评价表（单位：hm</w:t>
      </w:r>
      <w:r>
        <w:rPr>
          <w:rFonts w:hint="eastAsia" w:ascii="宋体" w:hAnsi="宋体" w:eastAsia="宋体" w:cs="宋体"/>
          <w:b/>
          <w:bCs/>
          <w:szCs w:val="24"/>
          <w:vertAlign w:val="superscript"/>
          <w:lang w:eastAsia="zh-CN"/>
        </w:rPr>
        <w:t>2</w:t>
      </w:r>
      <w:r>
        <w:rPr>
          <w:rFonts w:hint="eastAsia" w:ascii="宋体" w:hAnsi="宋体" w:eastAsia="宋体" w:cs="宋体"/>
          <w:b/>
          <w:bCs/>
          <w:szCs w:val="24"/>
          <w:lang w:eastAsia="zh-CN"/>
        </w:rPr>
        <w:t>）</w:t>
      </w:r>
    </w:p>
    <w:tbl>
      <w:tblPr>
        <w:tblStyle w:val="22"/>
        <w:tblW w:w="830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2"/>
        <w:gridCol w:w="1015"/>
        <w:gridCol w:w="1268"/>
        <w:gridCol w:w="1188"/>
        <w:gridCol w:w="1362"/>
        <w:gridCol w:w="822"/>
        <w:gridCol w:w="1080"/>
        <w:gridCol w:w="930"/>
      </w:tblGrid>
      <w:tr w14:paraId="6CE8DC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jc w:val="center"/>
        </w:trPr>
        <w:tc>
          <w:tcPr>
            <w:tcW w:w="642" w:type="dxa"/>
            <w:vMerge w:val="restart"/>
            <w:tcBorders>
              <w:bottom w:val="nil"/>
            </w:tcBorders>
            <w:vAlign w:val="center"/>
          </w:tcPr>
          <w:p w14:paraId="247B2F16">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3"/>
                <w:sz w:val="21"/>
                <w:szCs w:val="21"/>
              </w:rPr>
              <w:t>序号</w:t>
            </w:r>
          </w:p>
        </w:tc>
        <w:tc>
          <w:tcPr>
            <w:tcW w:w="1015" w:type="dxa"/>
            <w:vMerge w:val="restart"/>
            <w:tcBorders>
              <w:bottom w:val="nil"/>
            </w:tcBorders>
            <w:vAlign w:val="center"/>
          </w:tcPr>
          <w:p w14:paraId="24CA1E89">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z w:val="21"/>
                <w:szCs w:val="21"/>
              </w:rPr>
              <w:t>问题类型</w:t>
            </w:r>
          </w:p>
        </w:tc>
        <w:tc>
          <w:tcPr>
            <w:tcW w:w="1268" w:type="dxa"/>
            <w:vMerge w:val="restart"/>
            <w:tcBorders>
              <w:bottom w:val="nil"/>
            </w:tcBorders>
            <w:vAlign w:val="center"/>
          </w:tcPr>
          <w:p w14:paraId="79022271">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8"/>
                <w:sz w:val="21"/>
                <w:szCs w:val="21"/>
              </w:rPr>
              <w:t>参照目标</w:t>
            </w:r>
          </w:p>
        </w:tc>
        <w:tc>
          <w:tcPr>
            <w:tcW w:w="4452" w:type="dxa"/>
            <w:gridSpan w:val="4"/>
            <w:vAlign w:val="center"/>
          </w:tcPr>
          <w:p w14:paraId="61F03D7D">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5"/>
                <w:sz w:val="21"/>
                <w:szCs w:val="21"/>
              </w:rPr>
              <w:t>现状及预测受损状况</w:t>
            </w:r>
          </w:p>
        </w:tc>
        <w:tc>
          <w:tcPr>
            <w:tcW w:w="930" w:type="dxa"/>
            <w:vMerge w:val="restart"/>
            <w:tcBorders>
              <w:bottom w:val="nil"/>
            </w:tcBorders>
            <w:vAlign w:val="center"/>
          </w:tcPr>
          <w:p w14:paraId="5873C8BD">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2"/>
                <w:sz w:val="21"/>
                <w:szCs w:val="21"/>
              </w:rPr>
              <w:t>综合评价结果</w:t>
            </w:r>
          </w:p>
        </w:tc>
      </w:tr>
      <w:tr w14:paraId="79784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6" w:hRule="atLeast"/>
          <w:jc w:val="center"/>
        </w:trPr>
        <w:tc>
          <w:tcPr>
            <w:tcW w:w="642" w:type="dxa"/>
            <w:vMerge w:val="continue"/>
            <w:tcBorders>
              <w:top w:val="nil"/>
            </w:tcBorders>
            <w:vAlign w:val="center"/>
          </w:tcPr>
          <w:p w14:paraId="3C6C15D1">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015" w:type="dxa"/>
            <w:vMerge w:val="continue"/>
            <w:tcBorders>
              <w:top w:val="nil"/>
            </w:tcBorders>
            <w:vAlign w:val="center"/>
          </w:tcPr>
          <w:p w14:paraId="198DCF51">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268" w:type="dxa"/>
            <w:vMerge w:val="continue"/>
            <w:tcBorders>
              <w:top w:val="nil"/>
            </w:tcBorders>
            <w:vAlign w:val="center"/>
          </w:tcPr>
          <w:p w14:paraId="7057087A">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188" w:type="dxa"/>
            <w:vAlign w:val="center"/>
          </w:tcPr>
          <w:p w14:paraId="55ED170C">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3"/>
                <w:sz w:val="21"/>
                <w:szCs w:val="21"/>
              </w:rPr>
              <w:t>位置</w:t>
            </w:r>
          </w:p>
        </w:tc>
        <w:tc>
          <w:tcPr>
            <w:tcW w:w="1362" w:type="dxa"/>
            <w:vAlign w:val="center"/>
          </w:tcPr>
          <w:p w14:paraId="039A0267">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z w:val="21"/>
                <w:szCs w:val="21"/>
              </w:rPr>
              <w:t>面积</w:t>
            </w:r>
            <w:r>
              <w:rPr>
                <w:rFonts w:hint="eastAsia" w:ascii="宋体" w:hAnsi="宋体" w:eastAsia="宋体" w:cs="宋体"/>
                <w:spacing w:val="2"/>
                <w:sz w:val="21"/>
                <w:szCs w:val="21"/>
              </w:rPr>
              <w:t>（</w:t>
            </w:r>
            <w:r>
              <w:rPr>
                <w:rFonts w:hint="eastAsia" w:ascii="宋体" w:hAnsi="宋体" w:eastAsia="宋体" w:cs="宋体"/>
                <w:sz w:val="21"/>
                <w:szCs w:val="21"/>
              </w:rPr>
              <w:t>hm</w:t>
            </w:r>
            <w:r>
              <w:rPr>
                <w:rFonts w:hint="eastAsia" w:ascii="宋体" w:hAnsi="宋体" w:eastAsia="宋体" w:cs="宋体"/>
                <w:sz w:val="21"/>
                <w:szCs w:val="21"/>
                <w:vertAlign w:val="superscript"/>
                <w:lang w:val="en-US" w:eastAsia="zh-CN"/>
              </w:rPr>
              <w:t>2</w:t>
            </w:r>
            <w:r>
              <w:rPr>
                <w:rFonts w:hint="eastAsia" w:ascii="宋体" w:hAnsi="宋体" w:eastAsia="宋体" w:cs="宋体"/>
                <w:spacing w:val="2"/>
                <w:sz w:val="21"/>
                <w:szCs w:val="21"/>
              </w:rPr>
              <w:t>）</w:t>
            </w:r>
          </w:p>
        </w:tc>
        <w:tc>
          <w:tcPr>
            <w:tcW w:w="822" w:type="dxa"/>
            <w:vAlign w:val="center"/>
          </w:tcPr>
          <w:p w14:paraId="465AD121">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3"/>
                <w:sz w:val="21"/>
                <w:szCs w:val="21"/>
              </w:rPr>
              <w:t>小计</w:t>
            </w:r>
          </w:p>
        </w:tc>
        <w:tc>
          <w:tcPr>
            <w:tcW w:w="1080" w:type="dxa"/>
            <w:vAlign w:val="center"/>
          </w:tcPr>
          <w:p w14:paraId="2515C32B">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0"/>
                <w:sz w:val="21"/>
                <w:szCs w:val="21"/>
              </w:rPr>
              <w:t>损毁程度</w:t>
            </w:r>
          </w:p>
        </w:tc>
        <w:tc>
          <w:tcPr>
            <w:tcW w:w="930" w:type="dxa"/>
            <w:vMerge w:val="continue"/>
            <w:tcBorders>
              <w:top w:val="nil"/>
            </w:tcBorders>
            <w:vAlign w:val="center"/>
          </w:tcPr>
          <w:p w14:paraId="4EED1CD7">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r>
      <w:tr w14:paraId="2C071F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 w:hRule="atLeast"/>
          <w:jc w:val="center"/>
        </w:trPr>
        <w:tc>
          <w:tcPr>
            <w:tcW w:w="642" w:type="dxa"/>
            <w:tcBorders>
              <w:bottom w:val="single" w:color="auto" w:sz="4" w:space="0"/>
            </w:tcBorders>
            <w:vAlign w:val="center"/>
          </w:tcPr>
          <w:p w14:paraId="15DEB3BA">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9"/>
                <w:sz w:val="21"/>
                <w:szCs w:val="21"/>
              </w:rPr>
            </w:pPr>
            <w:r>
              <w:rPr>
                <w:rFonts w:hint="eastAsia" w:ascii="宋体" w:hAnsi="宋体" w:eastAsia="宋体" w:cs="宋体"/>
                <w:spacing w:val="9"/>
                <w:sz w:val="21"/>
                <w:szCs w:val="21"/>
              </w:rPr>
              <w:t>1</w:t>
            </w:r>
          </w:p>
        </w:tc>
        <w:tc>
          <w:tcPr>
            <w:tcW w:w="1015" w:type="dxa"/>
            <w:tcBorders>
              <w:bottom w:val="single" w:color="auto" w:sz="4" w:space="0"/>
            </w:tcBorders>
            <w:vAlign w:val="center"/>
          </w:tcPr>
          <w:p w14:paraId="1BA198DA">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9"/>
                <w:sz w:val="21"/>
                <w:szCs w:val="21"/>
              </w:rPr>
              <w:t>挖损损毁</w:t>
            </w:r>
          </w:p>
        </w:tc>
        <w:tc>
          <w:tcPr>
            <w:tcW w:w="1268" w:type="dxa"/>
            <w:tcBorders>
              <w:bottom w:val="single" w:color="auto" w:sz="4" w:space="0"/>
            </w:tcBorders>
            <w:vAlign w:val="center"/>
          </w:tcPr>
          <w:p w14:paraId="2171921A">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6"/>
                <w:sz w:val="21"/>
                <w:szCs w:val="21"/>
                <w:lang w:eastAsia="zh-CN"/>
              </w:rPr>
            </w:pPr>
            <w:r>
              <w:rPr>
                <w:rFonts w:hint="eastAsia" w:ascii="宋体" w:hAnsi="宋体" w:eastAsia="宋体" w:cs="宋体"/>
                <w:spacing w:val="6"/>
                <w:sz w:val="21"/>
                <w:szCs w:val="21"/>
                <w:lang w:eastAsia="zh-CN"/>
              </w:rPr>
              <w:t>其他土地</w:t>
            </w:r>
          </w:p>
        </w:tc>
        <w:tc>
          <w:tcPr>
            <w:tcW w:w="1188" w:type="dxa"/>
            <w:tcBorders>
              <w:bottom w:val="single" w:color="auto" w:sz="4" w:space="0"/>
            </w:tcBorders>
            <w:vAlign w:val="center"/>
          </w:tcPr>
          <w:p w14:paraId="1CFEBE0C">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6"/>
                <w:sz w:val="21"/>
                <w:szCs w:val="21"/>
                <w:lang w:eastAsia="zh-CN"/>
              </w:rPr>
            </w:pPr>
            <w:r>
              <w:rPr>
                <w:rFonts w:hint="eastAsia" w:ascii="宋体" w:hAnsi="宋体" w:eastAsia="宋体" w:cs="宋体"/>
                <w:spacing w:val="6"/>
                <w:sz w:val="21"/>
                <w:szCs w:val="21"/>
                <w:lang w:eastAsia="zh-CN"/>
              </w:rPr>
              <w:t>采矿场地</w:t>
            </w:r>
          </w:p>
        </w:tc>
        <w:tc>
          <w:tcPr>
            <w:tcW w:w="1362" w:type="dxa"/>
            <w:tcBorders>
              <w:bottom w:val="single" w:color="auto" w:sz="4" w:space="0"/>
            </w:tcBorders>
            <w:vAlign w:val="center"/>
          </w:tcPr>
          <w:p w14:paraId="73CD9A96">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宋体" w:hAnsi="宋体" w:eastAsia="宋体" w:cs="宋体"/>
                <w:spacing w:val="6"/>
                <w:sz w:val="21"/>
                <w:szCs w:val="21"/>
                <w:lang w:val="en-US" w:eastAsia="zh-CN"/>
              </w:rPr>
            </w:pPr>
            <w:r>
              <w:rPr>
                <w:rFonts w:hint="eastAsia" w:ascii="宋体" w:hAnsi="宋体" w:eastAsia="宋体" w:cs="宋体"/>
                <w:spacing w:val="6"/>
                <w:sz w:val="21"/>
                <w:szCs w:val="21"/>
                <w:lang w:val="en-US" w:eastAsia="zh-CN"/>
              </w:rPr>
              <w:t>44.62</w:t>
            </w:r>
          </w:p>
        </w:tc>
        <w:tc>
          <w:tcPr>
            <w:tcW w:w="822" w:type="dxa"/>
            <w:tcBorders>
              <w:bottom w:val="single" w:color="auto" w:sz="4" w:space="0"/>
            </w:tcBorders>
            <w:vAlign w:val="center"/>
          </w:tcPr>
          <w:p w14:paraId="31B07098">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宋体" w:hAnsi="宋体" w:eastAsia="宋体" w:cs="宋体"/>
                <w:spacing w:val="6"/>
                <w:sz w:val="21"/>
                <w:szCs w:val="21"/>
                <w:lang w:val="en-US" w:eastAsia="zh-CN"/>
              </w:rPr>
            </w:pPr>
            <w:r>
              <w:rPr>
                <w:rFonts w:hint="eastAsia" w:ascii="宋体" w:hAnsi="宋体" w:eastAsia="宋体" w:cs="宋体"/>
                <w:spacing w:val="6"/>
                <w:sz w:val="21"/>
                <w:szCs w:val="21"/>
                <w:lang w:val="en-US" w:eastAsia="zh-CN"/>
              </w:rPr>
              <w:t>44.62</w:t>
            </w:r>
          </w:p>
        </w:tc>
        <w:tc>
          <w:tcPr>
            <w:tcW w:w="1080" w:type="dxa"/>
            <w:tcBorders>
              <w:bottom w:val="single" w:color="auto" w:sz="4" w:space="0"/>
            </w:tcBorders>
            <w:vAlign w:val="center"/>
          </w:tcPr>
          <w:p w14:paraId="58DC33AF">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lang w:eastAsia="zh-CN"/>
              </w:rPr>
            </w:pPr>
            <w:r>
              <w:rPr>
                <w:rFonts w:hint="eastAsia" w:ascii="宋体" w:hAnsi="宋体" w:eastAsia="宋体" w:cs="宋体"/>
                <w:spacing w:val="7"/>
                <w:sz w:val="21"/>
                <w:szCs w:val="21"/>
              </w:rPr>
              <w:t>重度</w:t>
            </w:r>
            <w:r>
              <w:rPr>
                <w:rFonts w:hint="eastAsia" w:ascii="宋体" w:hAnsi="宋体" w:eastAsia="宋体" w:cs="宋体"/>
                <w:spacing w:val="7"/>
                <w:sz w:val="21"/>
                <w:szCs w:val="21"/>
                <w:lang w:eastAsia="zh-CN"/>
              </w:rPr>
              <w:t>损毁</w:t>
            </w:r>
          </w:p>
        </w:tc>
        <w:tc>
          <w:tcPr>
            <w:tcW w:w="930" w:type="dxa"/>
            <w:tcBorders>
              <w:bottom w:val="single" w:color="auto" w:sz="4" w:space="0"/>
            </w:tcBorders>
            <w:vAlign w:val="center"/>
          </w:tcPr>
          <w:p w14:paraId="12B7B0D2">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重度</w:t>
            </w:r>
          </w:p>
        </w:tc>
      </w:tr>
      <w:tr w14:paraId="195A5A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jc w:val="center"/>
        </w:trPr>
        <w:tc>
          <w:tcPr>
            <w:tcW w:w="642" w:type="dxa"/>
            <w:tcBorders>
              <w:top w:val="single" w:color="auto" w:sz="4" w:space="0"/>
              <w:bottom w:val="single" w:color="auto" w:sz="4" w:space="0"/>
            </w:tcBorders>
            <w:vAlign w:val="center"/>
          </w:tcPr>
          <w:p w14:paraId="1A70E6A0">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9"/>
                <w:sz w:val="21"/>
                <w:szCs w:val="21"/>
                <w:lang w:val="en-US" w:eastAsia="zh-CN"/>
              </w:rPr>
            </w:pPr>
            <w:r>
              <w:rPr>
                <w:rFonts w:hint="eastAsia" w:ascii="宋体" w:hAnsi="宋体" w:eastAsia="宋体" w:cs="宋体"/>
                <w:spacing w:val="9"/>
                <w:sz w:val="21"/>
                <w:szCs w:val="21"/>
                <w:lang w:eastAsia="zh-CN"/>
              </w:rPr>
              <w:t>2</w:t>
            </w:r>
          </w:p>
        </w:tc>
        <w:tc>
          <w:tcPr>
            <w:tcW w:w="1015" w:type="dxa"/>
            <w:vMerge w:val="restart"/>
            <w:tcBorders>
              <w:top w:val="single" w:color="auto" w:sz="4" w:space="0"/>
            </w:tcBorders>
            <w:vAlign w:val="center"/>
          </w:tcPr>
          <w:p w14:paraId="3BE5BC4C">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压占损毁</w:t>
            </w:r>
          </w:p>
        </w:tc>
        <w:tc>
          <w:tcPr>
            <w:tcW w:w="1268" w:type="dxa"/>
            <w:vMerge w:val="restart"/>
            <w:tcBorders>
              <w:top w:val="single" w:color="auto" w:sz="4" w:space="0"/>
            </w:tcBorders>
            <w:vAlign w:val="center"/>
          </w:tcPr>
          <w:p w14:paraId="77759090">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6"/>
                <w:sz w:val="21"/>
                <w:szCs w:val="21"/>
                <w:lang w:eastAsia="zh-CN"/>
              </w:rPr>
            </w:pPr>
            <w:r>
              <w:rPr>
                <w:rFonts w:hint="eastAsia" w:ascii="宋体" w:hAnsi="宋体" w:eastAsia="宋体" w:cs="宋体"/>
                <w:spacing w:val="6"/>
                <w:sz w:val="21"/>
                <w:szCs w:val="21"/>
                <w:lang w:eastAsia="zh-CN"/>
              </w:rPr>
              <w:t>其他土地</w:t>
            </w:r>
          </w:p>
        </w:tc>
        <w:tc>
          <w:tcPr>
            <w:tcW w:w="1188" w:type="dxa"/>
            <w:vMerge w:val="restart"/>
            <w:tcBorders>
              <w:top w:val="single" w:color="auto" w:sz="4" w:space="0"/>
            </w:tcBorders>
            <w:vAlign w:val="center"/>
          </w:tcPr>
          <w:p w14:paraId="7437E629">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6"/>
                <w:sz w:val="21"/>
                <w:szCs w:val="21"/>
                <w:lang w:eastAsia="zh-CN"/>
              </w:rPr>
            </w:pPr>
            <w:r>
              <w:rPr>
                <w:rFonts w:hint="eastAsia" w:ascii="宋体" w:hAnsi="宋体" w:eastAsia="宋体" w:cs="宋体"/>
                <w:spacing w:val="6"/>
                <w:sz w:val="21"/>
                <w:szCs w:val="21"/>
                <w:lang w:eastAsia="zh-CN"/>
              </w:rPr>
              <w:t>工业场地</w:t>
            </w:r>
          </w:p>
        </w:tc>
        <w:tc>
          <w:tcPr>
            <w:tcW w:w="1362" w:type="dxa"/>
            <w:vMerge w:val="restart"/>
            <w:tcBorders>
              <w:top w:val="single" w:color="auto" w:sz="4" w:space="0"/>
            </w:tcBorders>
            <w:vAlign w:val="center"/>
          </w:tcPr>
          <w:p w14:paraId="6DAEBE6E">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宋体" w:hAnsi="宋体" w:eastAsia="宋体" w:cs="宋体"/>
                <w:sz w:val="21"/>
                <w:szCs w:val="21"/>
                <w:lang w:val="en-US" w:eastAsia="zh-CN"/>
              </w:rPr>
            </w:pPr>
            <w:r>
              <w:rPr>
                <w:rFonts w:hint="eastAsia" w:ascii="宋体" w:hAnsi="宋体" w:eastAsia="宋体" w:cs="宋体"/>
                <w:spacing w:val="3"/>
                <w:position w:val="1"/>
                <w:sz w:val="21"/>
                <w:szCs w:val="21"/>
                <w:lang w:val="en-US" w:eastAsia="zh-CN"/>
              </w:rPr>
              <w:t>4.23</w:t>
            </w:r>
          </w:p>
        </w:tc>
        <w:tc>
          <w:tcPr>
            <w:tcW w:w="822" w:type="dxa"/>
            <w:vMerge w:val="restart"/>
            <w:tcBorders>
              <w:top w:val="single" w:color="auto" w:sz="4" w:space="0"/>
            </w:tcBorders>
            <w:vAlign w:val="center"/>
          </w:tcPr>
          <w:p w14:paraId="605D32A2">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宋体" w:hAnsi="宋体" w:eastAsia="宋体" w:cs="宋体"/>
                <w:sz w:val="21"/>
                <w:szCs w:val="21"/>
                <w:lang w:val="en-US"/>
              </w:rPr>
            </w:pPr>
            <w:r>
              <w:rPr>
                <w:rFonts w:hint="eastAsia" w:ascii="宋体" w:hAnsi="宋体" w:eastAsia="宋体" w:cs="宋体"/>
                <w:spacing w:val="3"/>
                <w:position w:val="1"/>
                <w:sz w:val="21"/>
                <w:szCs w:val="21"/>
                <w:lang w:val="en-US" w:eastAsia="zh-CN"/>
              </w:rPr>
              <w:t>4.23</w:t>
            </w:r>
          </w:p>
        </w:tc>
        <w:tc>
          <w:tcPr>
            <w:tcW w:w="1080" w:type="dxa"/>
            <w:vMerge w:val="restart"/>
            <w:tcBorders>
              <w:top w:val="single" w:color="auto" w:sz="4" w:space="0"/>
            </w:tcBorders>
            <w:vAlign w:val="center"/>
          </w:tcPr>
          <w:p w14:paraId="05700068">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lang w:eastAsia="zh-CN"/>
              </w:rPr>
            </w:pPr>
            <w:r>
              <w:rPr>
                <w:rFonts w:hint="eastAsia" w:ascii="宋体" w:hAnsi="宋体" w:eastAsia="宋体" w:cs="宋体"/>
                <w:spacing w:val="7"/>
                <w:sz w:val="21"/>
                <w:szCs w:val="21"/>
              </w:rPr>
              <w:t>重度</w:t>
            </w:r>
            <w:r>
              <w:rPr>
                <w:rFonts w:hint="eastAsia" w:ascii="宋体" w:hAnsi="宋体" w:eastAsia="宋体" w:cs="宋体"/>
                <w:spacing w:val="7"/>
                <w:sz w:val="21"/>
                <w:szCs w:val="21"/>
                <w:lang w:eastAsia="zh-CN"/>
              </w:rPr>
              <w:t>损毁</w:t>
            </w:r>
          </w:p>
        </w:tc>
        <w:tc>
          <w:tcPr>
            <w:tcW w:w="930" w:type="dxa"/>
            <w:vMerge w:val="restart"/>
            <w:tcBorders>
              <w:top w:val="single" w:color="auto" w:sz="4" w:space="0"/>
            </w:tcBorders>
            <w:vAlign w:val="center"/>
          </w:tcPr>
          <w:p w14:paraId="34CC36AD">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重度</w:t>
            </w:r>
          </w:p>
        </w:tc>
      </w:tr>
      <w:tr w14:paraId="13043F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jc w:val="center"/>
        </w:trPr>
        <w:tc>
          <w:tcPr>
            <w:tcW w:w="642" w:type="dxa"/>
            <w:tcBorders>
              <w:top w:val="single" w:color="auto" w:sz="4" w:space="0"/>
            </w:tcBorders>
            <w:vAlign w:val="center"/>
          </w:tcPr>
          <w:p w14:paraId="18F35EAC">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宋体" w:hAnsi="宋体" w:eastAsia="宋体" w:cs="宋体"/>
                <w:spacing w:val="9"/>
                <w:sz w:val="21"/>
                <w:szCs w:val="21"/>
                <w:lang w:val="en-US" w:eastAsia="zh-CN"/>
              </w:rPr>
            </w:pPr>
            <w:r>
              <w:rPr>
                <w:rFonts w:hint="eastAsia" w:ascii="宋体" w:hAnsi="宋体" w:eastAsia="宋体" w:cs="宋体"/>
                <w:spacing w:val="9"/>
                <w:sz w:val="21"/>
                <w:szCs w:val="21"/>
                <w:lang w:val="en-US" w:eastAsia="zh-CN"/>
              </w:rPr>
              <w:t>3</w:t>
            </w:r>
          </w:p>
        </w:tc>
        <w:tc>
          <w:tcPr>
            <w:tcW w:w="1015" w:type="dxa"/>
            <w:vMerge w:val="continue"/>
            <w:vAlign w:val="center"/>
          </w:tcPr>
          <w:p w14:paraId="4B839D6A">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268" w:type="dxa"/>
            <w:vMerge w:val="continue"/>
            <w:vAlign w:val="center"/>
          </w:tcPr>
          <w:p w14:paraId="133AB670">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188" w:type="dxa"/>
            <w:tcBorders>
              <w:top w:val="single" w:color="auto" w:sz="4" w:space="0"/>
            </w:tcBorders>
            <w:vAlign w:val="center"/>
          </w:tcPr>
          <w:p w14:paraId="4E75B2BD">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7"/>
                <w:sz w:val="21"/>
                <w:szCs w:val="21"/>
                <w:lang w:eastAsia="zh-CN"/>
              </w:rPr>
            </w:pPr>
            <w:r>
              <w:rPr>
                <w:rFonts w:hint="eastAsia" w:ascii="宋体" w:hAnsi="宋体" w:eastAsia="宋体" w:cs="宋体"/>
                <w:spacing w:val="7"/>
                <w:sz w:val="21"/>
                <w:szCs w:val="21"/>
                <w:lang w:eastAsia="zh-CN"/>
              </w:rPr>
              <w:t>矿山道路</w:t>
            </w:r>
          </w:p>
        </w:tc>
        <w:tc>
          <w:tcPr>
            <w:tcW w:w="1362" w:type="dxa"/>
            <w:tcBorders>
              <w:top w:val="single" w:color="auto" w:sz="4" w:space="0"/>
            </w:tcBorders>
            <w:vAlign w:val="center"/>
          </w:tcPr>
          <w:p w14:paraId="1456E484">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宋体" w:hAnsi="宋体" w:eastAsia="宋体" w:cs="宋体"/>
                <w:sz w:val="21"/>
                <w:szCs w:val="21"/>
                <w:lang w:val="en-US" w:eastAsia="zh-CN"/>
              </w:rPr>
            </w:pPr>
            <w:r>
              <w:rPr>
                <w:rFonts w:hint="eastAsia" w:ascii="宋体" w:hAnsi="宋体" w:eastAsia="宋体" w:cs="宋体"/>
                <w:spacing w:val="4"/>
                <w:position w:val="1"/>
                <w:sz w:val="21"/>
                <w:szCs w:val="21"/>
                <w:lang w:eastAsia="zh-CN"/>
              </w:rPr>
              <w:t>0.2</w:t>
            </w:r>
            <w:r>
              <w:rPr>
                <w:rFonts w:hint="eastAsia" w:ascii="宋体" w:hAnsi="宋体" w:eastAsia="宋体" w:cs="宋体"/>
                <w:spacing w:val="4"/>
                <w:position w:val="1"/>
                <w:sz w:val="21"/>
                <w:szCs w:val="21"/>
                <w:lang w:val="en-US" w:eastAsia="zh-CN"/>
              </w:rPr>
              <w:t>4</w:t>
            </w:r>
          </w:p>
        </w:tc>
        <w:tc>
          <w:tcPr>
            <w:tcW w:w="822" w:type="dxa"/>
            <w:tcBorders>
              <w:top w:val="single" w:color="auto" w:sz="4" w:space="0"/>
            </w:tcBorders>
            <w:vAlign w:val="center"/>
          </w:tcPr>
          <w:p w14:paraId="648945FC">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宋体" w:hAnsi="宋体" w:eastAsia="宋体" w:cs="宋体"/>
                <w:sz w:val="21"/>
                <w:szCs w:val="21"/>
                <w:lang w:val="en-US"/>
              </w:rPr>
            </w:pPr>
            <w:r>
              <w:rPr>
                <w:rFonts w:hint="eastAsia" w:ascii="宋体" w:hAnsi="宋体" w:eastAsia="宋体" w:cs="宋体"/>
                <w:spacing w:val="4"/>
                <w:position w:val="1"/>
                <w:sz w:val="21"/>
                <w:szCs w:val="21"/>
                <w:lang w:eastAsia="zh-CN"/>
              </w:rPr>
              <w:t>0.2</w:t>
            </w:r>
            <w:r>
              <w:rPr>
                <w:rFonts w:hint="eastAsia" w:ascii="宋体" w:hAnsi="宋体" w:eastAsia="宋体" w:cs="宋体"/>
                <w:spacing w:val="4"/>
                <w:position w:val="1"/>
                <w:sz w:val="21"/>
                <w:szCs w:val="21"/>
                <w:lang w:val="en-US" w:eastAsia="zh-CN"/>
              </w:rPr>
              <w:t>4</w:t>
            </w:r>
          </w:p>
        </w:tc>
        <w:tc>
          <w:tcPr>
            <w:tcW w:w="1080" w:type="dxa"/>
            <w:tcBorders>
              <w:top w:val="single" w:color="auto" w:sz="4" w:space="0"/>
            </w:tcBorders>
            <w:vAlign w:val="center"/>
          </w:tcPr>
          <w:p w14:paraId="014ED0EF">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7"/>
                <w:sz w:val="21"/>
                <w:szCs w:val="21"/>
                <w:lang w:eastAsia="zh-CN"/>
              </w:rPr>
              <w:t>轻</w:t>
            </w:r>
            <w:r>
              <w:rPr>
                <w:rFonts w:hint="eastAsia" w:ascii="宋体" w:hAnsi="宋体" w:eastAsia="宋体" w:cs="宋体"/>
                <w:spacing w:val="7"/>
                <w:sz w:val="21"/>
                <w:szCs w:val="21"/>
              </w:rPr>
              <w:t>度</w:t>
            </w:r>
            <w:r>
              <w:rPr>
                <w:rFonts w:hint="eastAsia" w:ascii="宋体" w:hAnsi="宋体" w:eastAsia="宋体" w:cs="宋体"/>
                <w:spacing w:val="7"/>
                <w:sz w:val="21"/>
                <w:szCs w:val="21"/>
                <w:lang w:eastAsia="zh-CN"/>
              </w:rPr>
              <w:t>损毁</w:t>
            </w:r>
          </w:p>
        </w:tc>
        <w:tc>
          <w:tcPr>
            <w:tcW w:w="930" w:type="dxa"/>
            <w:tcBorders>
              <w:top w:val="single" w:color="auto" w:sz="4" w:space="0"/>
            </w:tcBorders>
            <w:vAlign w:val="center"/>
          </w:tcPr>
          <w:p w14:paraId="47B20204">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7"/>
                <w:sz w:val="21"/>
                <w:szCs w:val="21"/>
                <w:lang w:eastAsia="zh-CN"/>
              </w:rPr>
              <w:t>轻</w:t>
            </w:r>
            <w:r>
              <w:rPr>
                <w:rFonts w:hint="eastAsia" w:ascii="宋体" w:hAnsi="宋体" w:eastAsia="宋体" w:cs="宋体"/>
                <w:spacing w:val="7"/>
                <w:sz w:val="21"/>
                <w:szCs w:val="21"/>
              </w:rPr>
              <w:t>度</w:t>
            </w:r>
          </w:p>
        </w:tc>
      </w:tr>
      <w:tr w14:paraId="7ECB51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jc w:val="center"/>
        </w:trPr>
        <w:tc>
          <w:tcPr>
            <w:tcW w:w="1657" w:type="dxa"/>
            <w:gridSpan w:val="2"/>
            <w:vAlign w:val="center"/>
          </w:tcPr>
          <w:p w14:paraId="24F9747A">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合计</w:t>
            </w:r>
          </w:p>
        </w:tc>
        <w:tc>
          <w:tcPr>
            <w:tcW w:w="1268" w:type="dxa"/>
            <w:vAlign w:val="center"/>
          </w:tcPr>
          <w:p w14:paraId="10F623D8">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188" w:type="dxa"/>
            <w:vAlign w:val="center"/>
          </w:tcPr>
          <w:p w14:paraId="4DC9DFCC">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2184" w:type="dxa"/>
            <w:gridSpan w:val="2"/>
            <w:vAlign w:val="center"/>
          </w:tcPr>
          <w:p w14:paraId="549B7624">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default" w:ascii="宋体" w:hAnsi="宋体" w:eastAsia="宋体" w:cs="宋体"/>
                <w:sz w:val="21"/>
                <w:szCs w:val="21"/>
                <w:lang w:val="en-US" w:eastAsia="zh-CN"/>
              </w:rPr>
            </w:pPr>
            <w:r>
              <w:rPr>
                <w:rFonts w:hint="eastAsia" w:ascii="宋体" w:hAnsi="宋体" w:eastAsia="宋体" w:cs="宋体"/>
                <w:spacing w:val="3"/>
                <w:position w:val="1"/>
                <w:sz w:val="21"/>
                <w:szCs w:val="21"/>
                <w:lang w:val="en-US" w:eastAsia="zh-CN"/>
              </w:rPr>
              <w:t>49.09</w:t>
            </w:r>
          </w:p>
        </w:tc>
        <w:tc>
          <w:tcPr>
            <w:tcW w:w="1080" w:type="dxa"/>
            <w:vAlign w:val="center"/>
          </w:tcPr>
          <w:p w14:paraId="6B102588">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930" w:type="dxa"/>
            <w:vAlign w:val="center"/>
          </w:tcPr>
          <w:p w14:paraId="657CC62B">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r>
    </w:tbl>
    <w:p w14:paraId="59114B61">
      <w:pPr>
        <w:pStyle w:val="6"/>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bookmarkStart w:id="109" w:name="bookmark100"/>
      <w:bookmarkEnd w:id="109"/>
      <w:bookmarkStart w:id="110" w:name="bookmark99"/>
      <w:bookmarkEnd w:id="110"/>
      <w:r>
        <w:rPr>
          <w:rFonts w:hint="eastAsia" w:ascii="宋体" w:hAnsi="宋体" w:eastAsia="宋体" w:cs="宋体"/>
          <w:spacing w:val="-1"/>
          <w:sz w:val="28"/>
          <w:szCs w:val="28"/>
          <w:lang w:eastAsia="zh-CN"/>
        </w:rPr>
        <w:t>⑸生态问题预测分析</w:t>
      </w:r>
    </w:p>
    <w:p w14:paraId="0785A0E2">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该矿山开采矿种无毒，无污染，只是随着矿山的开采深度和宽度会增加，所以预测条件下，矿山开采对水土环境污染较轻。</w:t>
      </w:r>
    </w:p>
    <w:p w14:paraId="2C79AD02">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①植被损毁</w:t>
      </w:r>
    </w:p>
    <w:p w14:paraId="52EEF453">
      <w:pPr>
        <w:widowControl w:val="0"/>
        <w:kinsoku/>
        <w:adjustRightInd/>
        <w:snapToGrid/>
        <w:spacing w:line="360" w:lineRule="auto"/>
        <w:ind w:firstLine="562" w:firstLineChars="200"/>
        <w:jc w:val="both"/>
        <w:rPr>
          <w:rFonts w:hint="eastAsia" w:ascii="宋体" w:hAnsi="宋体" w:eastAsia="宋体" w:cs="宋体"/>
          <w:sz w:val="28"/>
          <w:szCs w:val="28"/>
          <w:lang w:eastAsia="zh-CN"/>
        </w:rPr>
      </w:pPr>
      <w:r>
        <w:rPr>
          <w:rFonts w:hint="eastAsia" w:ascii="宋体" w:hAnsi="宋体" w:eastAsia="宋体" w:cs="宋体"/>
          <w:b/>
          <w:bCs/>
          <w:sz w:val="28"/>
          <w:szCs w:val="28"/>
          <w:lang w:eastAsia="zh-CN"/>
        </w:rPr>
        <w:t>近</w:t>
      </w:r>
      <w:r>
        <w:rPr>
          <w:rFonts w:hint="eastAsia" w:ascii="宋体" w:hAnsi="宋体" w:eastAsia="宋体" w:cs="宋体"/>
          <w:b/>
          <w:bCs/>
          <w:sz w:val="28"/>
          <w:szCs w:val="28"/>
          <w:lang w:val="en-US" w:eastAsia="zh-CN"/>
        </w:rPr>
        <w:t>3</w:t>
      </w:r>
      <w:r>
        <w:rPr>
          <w:rFonts w:hint="eastAsia" w:ascii="宋体" w:hAnsi="宋体" w:eastAsia="宋体" w:cs="宋体"/>
          <w:b/>
          <w:bCs/>
          <w:sz w:val="28"/>
          <w:szCs w:val="28"/>
          <w:lang w:eastAsia="zh-CN"/>
        </w:rPr>
        <w:t>年预测：</w:t>
      </w:r>
      <w:r>
        <w:rPr>
          <w:rFonts w:hint="eastAsia" w:ascii="宋体" w:hAnsi="宋体" w:eastAsia="Arial" w:cs="宋体"/>
          <w:sz w:val="28"/>
          <w:szCs w:val="28"/>
          <w:lang w:eastAsia="zh-CN"/>
        </w:rPr>
        <w:t>近</w:t>
      </w:r>
      <w:r>
        <w:rPr>
          <w:rFonts w:hint="eastAsia" w:ascii="宋体" w:hAnsi="宋体" w:cs="宋体"/>
          <w:sz w:val="28"/>
          <w:szCs w:val="28"/>
          <w:lang w:val="en-US" w:eastAsia="zh-CN"/>
        </w:rPr>
        <w:t>3</w:t>
      </w:r>
      <w:r>
        <w:rPr>
          <w:rFonts w:hint="eastAsia" w:ascii="宋体" w:hAnsi="宋体" w:eastAsia="Arial" w:cs="宋体"/>
          <w:sz w:val="28"/>
          <w:szCs w:val="28"/>
          <w:lang w:eastAsia="zh-CN"/>
        </w:rPr>
        <w:t>年内矿区及采矿活动影响范围内挖损、压占面积为</w:t>
      </w:r>
      <w:r>
        <w:rPr>
          <w:rFonts w:hint="eastAsia" w:ascii="宋体" w:hAnsi="宋体" w:eastAsia="宋体" w:cs="宋体"/>
          <w:sz w:val="28"/>
          <w:szCs w:val="28"/>
          <w:lang w:val="en-US" w:eastAsia="zh-CN"/>
        </w:rPr>
        <w:t>89.09</w:t>
      </w:r>
      <w:r>
        <w:rPr>
          <w:rFonts w:hint="eastAsia" w:ascii="宋体" w:hAnsi="宋体" w:eastAsia="Arial" w:cs="宋体"/>
          <w:sz w:val="28"/>
          <w:szCs w:val="28"/>
          <w:lang w:eastAsia="zh-CN"/>
        </w:rPr>
        <w:t>hm</w:t>
      </w:r>
      <w:r>
        <w:rPr>
          <w:rFonts w:hint="eastAsia" w:ascii="宋体" w:hAnsi="宋体" w:eastAsia="Arial" w:cs="宋体"/>
          <w:sz w:val="28"/>
          <w:szCs w:val="28"/>
          <w:vertAlign w:val="superscript"/>
          <w:lang w:eastAsia="zh-CN"/>
        </w:rPr>
        <w:t>2</w:t>
      </w:r>
      <w:r>
        <w:rPr>
          <w:rFonts w:hint="eastAsia" w:ascii="宋体" w:hAnsi="宋体" w:eastAsia="Arial" w:cs="宋体"/>
          <w:sz w:val="28"/>
          <w:szCs w:val="28"/>
          <w:lang w:eastAsia="zh-CN"/>
        </w:rPr>
        <w:t>，其中露天采场</w:t>
      </w:r>
      <w:r>
        <w:rPr>
          <w:rFonts w:hint="eastAsia" w:ascii="宋体" w:hAnsi="宋体" w:cs="宋体"/>
          <w:sz w:val="28"/>
          <w:szCs w:val="28"/>
          <w:lang w:eastAsia="zh-CN"/>
        </w:rPr>
        <w:t>会</w:t>
      </w:r>
      <w:r>
        <w:rPr>
          <w:rFonts w:hint="eastAsia" w:ascii="宋体" w:hAnsi="宋体" w:eastAsia="Arial" w:cs="宋体"/>
          <w:sz w:val="28"/>
          <w:szCs w:val="28"/>
          <w:lang w:eastAsia="zh-CN"/>
        </w:rPr>
        <w:t>继续开挖，最终挖损面积为</w:t>
      </w:r>
      <w:r>
        <w:rPr>
          <w:rFonts w:hint="eastAsia" w:ascii="宋体" w:hAnsi="宋体" w:cs="宋体"/>
          <w:sz w:val="28"/>
          <w:szCs w:val="28"/>
          <w:lang w:val="en-US" w:eastAsia="zh-CN"/>
        </w:rPr>
        <w:t>84.62</w:t>
      </w:r>
      <w:r>
        <w:rPr>
          <w:rFonts w:hint="eastAsia" w:ascii="宋体" w:hAnsi="宋体" w:eastAsia="Arial" w:cs="宋体"/>
          <w:sz w:val="28"/>
          <w:szCs w:val="28"/>
          <w:lang w:eastAsia="zh-CN"/>
        </w:rPr>
        <w:t>hm</w:t>
      </w:r>
      <w:r>
        <w:rPr>
          <w:rFonts w:hint="eastAsia" w:ascii="宋体" w:hAnsi="宋体" w:eastAsia="Arial" w:cs="宋体"/>
          <w:sz w:val="28"/>
          <w:szCs w:val="28"/>
          <w:vertAlign w:val="superscript"/>
          <w:lang w:eastAsia="zh-CN"/>
        </w:rPr>
        <w:t>2</w:t>
      </w:r>
      <w:r>
        <w:rPr>
          <w:rFonts w:hint="eastAsia" w:ascii="宋体" w:hAnsi="宋体" w:eastAsia="Arial" w:cs="宋体"/>
          <w:sz w:val="28"/>
          <w:szCs w:val="28"/>
          <w:lang w:eastAsia="zh-CN"/>
        </w:rPr>
        <w:t>，</w:t>
      </w:r>
      <w:r>
        <w:rPr>
          <w:rFonts w:hint="eastAsia" w:ascii="宋体" w:hAnsi="宋体" w:eastAsia="宋体" w:cs="宋体"/>
          <w:sz w:val="28"/>
          <w:szCs w:val="28"/>
          <w:lang w:eastAsia="zh-CN"/>
        </w:rPr>
        <w:t>工业场地修建于</w:t>
      </w:r>
      <w:r>
        <w:rPr>
          <w:rFonts w:hint="eastAsia" w:ascii="宋体" w:hAnsi="宋体" w:cs="宋体"/>
          <w:sz w:val="28"/>
          <w:szCs w:val="28"/>
          <w:lang w:eastAsia="zh-CN"/>
        </w:rPr>
        <w:t>采矿权北侧</w:t>
      </w:r>
      <w:r>
        <w:rPr>
          <w:rFonts w:hint="eastAsia" w:ascii="宋体" w:hAnsi="宋体" w:cs="宋体"/>
          <w:sz w:val="28"/>
          <w:szCs w:val="28"/>
          <w:lang w:val="en-US" w:eastAsia="zh-CN"/>
        </w:rPr>
        <w:t>30</w:t>
      </w:r>
      <w:r>
        <w:rPr>
          <w:rFonts w:hint="eastAsia" w:ascii="宋体" w:hAnsi="宋体" w:cs="宋体"/>
          <w:sz w:val="28"/>
          <w:szCs w:val="28"/>
          <w:lang w:eastAsia="zh-CN"/>
        </w:rPr>
        <w:t>m处</w:t>
      </w:r>
      <w:r>
        <w:rPr>
          <w:rFonts w:ascii="宋体" w:hAnsi="宋体" w:eastAsia="宋体" w:cs="宋体"/>
          <w:spacing w:val="2"/>
          <w:sz w:val="28"/>
          <w:szCs w:val="28"/>
          <w:lang w:eastAsia="zh-CN"/>
        </w:rPr>
        <w:t>，</w:t>
      </w:r>
      <w:r>
        <w:rPr>
          <w:rFonts w:hint="eastAsia" w:ascii="宋体" w:hAnsi="宋体" w:eastAsia="宋体" w:cs="宋体"/>
          <w:sz w:val="28"/>
          <w:szCs w:val="28"/>
          <w:lang w:eastAsia="zh-CN"/>
        </w:rPr>
        <w:t>破坏原有的地形地貌，同时对土地造成压占破坏，面积为</w:t>
      </w:r>
      <w:r>
        <w:rPr>
          <w:rFonts w:hint="eastAsia" w:ascii="宋体" w:hAnsi="宋体" w:eastAsia="宋体" w:cs="宋体"/>
          <w:sz w:val="28"/>
          <w:szCs w:val="28"/>
          <w:lang w:val="en-US" w:eastAsia="zh-CN"/>
        </w:rPr>
        <w:t>4.23</w:t>
      </w:r>
      <w:r>
        <w:rPr>
          <w:rFonts w:hint="eastAsia" w:ascii="宋体" w:hAnsi="宋体" w:eastAsia="宋体" w:cs="宋体"/>
          <w:sz w:val="28"/>
          <w:szCs w:val="28"/>
          <w:lang w:eastAsia="zh-CN"/>
        </w:rPr>
        <w:t>h</w:t>
      </w:r>
      <w:r>
        <w:rPr>
          <w:rFonts w:hint="eastAsia" w:ascii="宋体" w:hAnsi="宋体" w:cs="宋体"/>
          <w:sz w:val="28"/>
          <w:szCs w:val="28"/>
          <w:lang w:eastAsia="zh-CN"/>
        </w:rPr>
        <w:t>m</w:t>
      </w:r>
      <w:r>
        <w:rPr>
          <w:rFonts w:hint="eastAsia" w:ascii="宋体" w:hAnsi="宋体" w:cs="宋体"/>
          <w:sz w:val="28"/>
          <w:szCs w:val="28"/>
          <w:vertAlign w:val="superscript"/>
          <w:lang w:eastAsia="zh-CN"/>
        </w:rPr>
        <w:t>2</w:t>
      </w:r>
      <w:r>
        <w:rPr>
          <w:rFonts w:hint="eastAsia" w:ascii="宋体" w:hAnsi="宋体" w:eastAsia="宋体" w:cs="宋体"/>
          <w:sz w:val="28"/>
          <w:szCs w:val="28"/>
          <w:lang w:eastAsia="zh-CN"/>
        </w:rPr>
        <w:t>；矿山道路破坏原有的地形地貌，同时对土地造成压占破坏，面积为0.</w:t>
      </w:r>
      <w:r>
        <w:rPr>
          <w:rFonts w:hint="eastAsia" w:ascii="宋体" w:hAnsi="宋体" w:eastAsia="宋体" w:cs="宋体"/>
          <w:sz w:val="28"/>
          <w:szCs w:val="28"/>
          <w:lang w:val="en-US" w:eastAsia="zh-CN"/>
        </w:rPr>
        <w:t>24</w:t>
      </w:r>
      <w:r>
        <w:rPr>
          <w:rFonts w:hint="eastAsia" w:ascii="宋体" w:hAnsi="宋体" w:eastAsia="宋体" w:cs="宋体"/>
          <w:sz w:val="28"/>
          <w:szCs w:val="28"/>
          <w:lang w:eastAsia="zh-CN"/>
        </w:rPr>
        <w:t>h</w:t>
      </w:r>
      <w:r>
        <w:rPr>
          <w:rFonts w:hint="eastAsia" w:ascii="宋体" w:hAnsi="宋体" w:cs="宋体"/>
          <w:sz w:val="28"/>
          <w:szCs w:val="28"/>
          <w:lang w:eastAsia="zh-CN"/>
        </w:rPr>
        <w:t>m</w:t>
      </w:r>
      <w:r>
        <w:rPr>
          <w:rFonts w:hint="eastAsia" w:ascii="宋体" w:hAnsi="宋体" w:cs="宋体"/>
          <w:sz w:val="28"/>
          <w:szCs w:val="28"/>
          <w:vertAlign w:val="superscript"/>
          <w:lang w:eastAsia="zh-CN"/>
        </w:rPr>
        <w:t>2</w:t>
      </w:r>
      <w:r>
        <w:rPr>
          <w:rFonts w:hint="eastAsia" w:ascii="宋体" w:hAnsi="宋体" w:eastAsia="宋体" w:cs="宋体"/>
          <w:sz w:val="28"/>
          <w:szCs w:val="28"/>
          <w:lang w:eastAsia="zh-CN"/>
        </w:rPr>
        <w:t>，矿区內无植被分布，采矿活动将不会造成植被压占和破坏。</w:t>
      </w:r>
    </w:p>
    <w:p w14:paraId="342002BF">
      <w:pPr>
        <w:widowControl w:val="0"/>
        <w:kinsoku/>
        <w:adjustRightInd/>
        <w:snapToGrid/>
        <w:spacing w:line="360" w:lineRule="auto"/>
        <w:ind w:firstLine="562" w:firstLineChars="200"/>
        <w:jc w:val="both"/>
        <w:rPr>
          <w:rFonts w:hint="eastAsia" w:ascii="宋体" w:hAnsi="宋体" w:eastAsia="宋体" w:cs="宋体"/>
          <w:sz w:val="28"/>
          <w:szCs w:val="28"/>
          <w:lang w:eastAsia="zh-CN"/>
        </w:rPr>
      </w:pPr>
      <w:r>
        <w:rPr>
          <w:rFonts w:hint="eastAsia" w:ascii="宋体" w:hAnsi="宋体" w:eastAsia="宋体" w:cs="宋体"/>
          <w:b/>
          <w:bCs/>
          <w:sz w:val="28"/>
          <w:szCs w:val="28"/>
          <w:lang w:eastAsia="zh-CN"/>
        </w:rPr>
        <w:t>开采终了预测：</w:t>
      </w:r>
      <w:r>
        <w:rPr>
          <w:rFonts w:hint="eastAsia" w:ascii="宋体" w:hAnsi="宋体" w:eastAsia="宋体" w:cs="宋体"/>
          <w:sz w:val="28"/>
          <w:szCs w:val="28"/>
          <w:lang w:eastAsia="zh-CN"/>
        </w:rPr>
        <w:t>未来矿区及采矿活动影响范围内挖损、压占面积为</w:t>
      </w:r>
      <w:r>
        <w:rPr>
          <w:rFonts w:hint="eastAsia" w:ascii="宋体" w:hAnsi="宋体" w:eastAsia="宋体" w:cs="宋体"/>
          <w:b w:val="0"/>
          <w:bCs w:val="0"/>
          <w:color w:val="auto"/>
          <w:sz w:val="28"/>
          <w:szCs w:val="28"/>
          <w:lang w:val="en-US" w:eastAsia="zh-CN"/>
        </w:rPr>
        <w:t>104.47</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，其中露天采场开挖，最终挖损面积为至</w:t>
      </w:r>
      <w:r>
        <w:rPr>
          <w:rFonts w:hint="eastAsia" w:ascii="宋体" w:hAnsi="宋体" w:eastAsia="宋体" w:cs="宋体"/>
          <w:sz w:val="28"/>
          <w:szCs w:val="28"/>
          <w:lang w:val="en-US" w:eastAsia="zh-CN"/>
        </w:rPr>
        <w:t>100</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，工业场地修建于</w:t>
      </w:r>
      <w:r>
        <w:rPr>
          <w:rFonts w:hint="eastAsia" w:ascii="宋体" w:hAnsi="宋体" w:cs="宋体"/>
          <w:sz w:val="28"/>
          <w:szCs w:val="28"/>
          <w:lang w:eastAsia="zh-CN"/>
        </w:rPr>
        <w:t>采矿权北侧</w:t>
      </w:r>
      <w:r>
        <w:rPr>
          <w:rFonts w:hint="eastAsia" w:ascii="宋体" w:hAnsi="宋体" w:cs="宋体"/>
          <w:sz w:val="28"/>
          <w:szCs w:val="28"/>
          <w:lang w:val="en-US" w:eastAsia="zh-CN"/>
        </w:rPr>
        <w:t>30</w:t>
      </w:r>
      <w:r>
        <w:rPr>
          <w:rFonts w:hint="eastAsia" w:ascii="宋体" w:hAnsi="宋体" w:cs="宋体"/>
          <w:sz w:val="28"/>
          <w:szCs w:val="28"/>
          <w:lang w:eastAsia="zh-CN"/>
        </w:rPr>
        <w:t>m处</w:t>
      </w:r>
      <w:r>
        <w:rPr>
          <w:rFonts w:ascii="宋体" w:hAnsi="宋体" w:eastAsia="宋体" w:cs="宋体"/>
          <w:spacing w:val="2"/>
          <w:sz w:val="28"/>
          <w:szCs w:val="28"/>
          <w:lang w:eastAsia="zh-CN"/>
        </w:rPr>
        <w:t>，</w:t>
      </w:r>
      <w:r>
        <w:rPr>
          <w:rFonts w:hint="eastAsia" w:ascii="宋体" w:hAnsi="宋体" w:eastAsia="宋体" w:cs="宋体"/>
          <w:sz w:val="28"/>
          <w:szCs w:val="28"/>
          <w:lang w:eastAsia="zh-CN"/>
        </w:rPr>
        <w:t>破坏原有的地形地貌，同时对土地造成压占破坏，面积为</w:t>
      </w:r>
      <w:r>
        <w:rPr>
          <w:rFonts w:hint="eastAsia" w:ascii="宋体" w:hAnsi="宋体" w:eastAsia="宋体" w:cs="宋体"/>
          <w:sz w:val="28"/>
          <w:szCs w:val="28"/>
          <w:lang w:val="en-US" w:eastAsia="zh-CN"/>
        </w:rPr>
        <w:t>4.23</w:t>
      </w:r>
      <w:r>
        <w:rPr>
          <w:rFonts w:hint="eastAsia" w:ascii="宋体" w:hAnsi="宋体" w:eastAsia="宋体" w:cs="宋体"/>
          <w:sz w:val="28"/>
          <w:szCs w:val="28"/>
          <w:lang w:eastAsia="zh-CN"/>
        </w:rPr>
        <w:t>h</w:t>
      </w:r>
      <w:r>
        <w:rPr>
          <w:rFonts w:hint="eastAsia" w:ascii="宋体" w:hAnsi="宋体" w:cs="宋体"/>
          <w:sz w:val="28"/>
          <w:szCs w:val="28"/>
          <w:lang w:eastAsia="zh-CN"/>
        </w:rPr>
        <w:t>m</w:t>
      </w:r>
      <w:r>
        <w:rPr>
          <w:rFonts w:hint="eastAsia" w:ascii="宋体" w:hAnsi="宋体" w:cs="宋体"/>
          <w:sz w:val="28"/>
          <w:szCs w:val="28"/>
          <w:vertAlign w:val="superscript"/>
          <w:lang w:eastAsia="zh-CN"/>
        </w:rPr>
        <w:t>2</w:t>
      </w:r>
      <w:r>
        <w:rPr>
          <w:rFonts w:hint="eastAsia" w:ascii="宋体" w:hAnsi="宋体" w:eastAsia="宋体" w:cs="宋体"/>
          <w:sz w:val="28"/>
          <w:szCs w:val="28"/>
          <w:lang w:eastAsia="zh-CN"/>
        </w:rPr>
        <w:t>；矿山道路破坏原有的地形地貌，同时对土地造成压占破坏，面积为</w:t>
      </w:r>
      <w:r>
        <w:rPr>
          <w:rFonts w:hint="eastAsia" w:ascii="宋体" w:hAnsi="宋体" w:eastAsia="宋体" w:cs="宋体"/>
          <w:sz w:val="28"/>
          <w:szCs w:val="28"/>
          <w:lang w:val="en-US" w:eastAsia="zh-CN"/>
        </w:rPr>
        <w:t>0.24</w:t>
      </w:r>
      <w:r>
        <w:rPr>
          <w:rFonts w:hint="eastAsia" w:ascii="宋体" w:hAnsi="宋体" w:eastAsia="宋体" w:cs="宋体"/>
          <w:sz w:val="28"/>
          <w:szCs w:val="28"/>
          <w:lang w:eastAsia="zh-CN"/>
        </w:rPr>
        <w:t>h</w:t>
      </w:r>
      <w:r>
        <w:rPr>
          <w:rFonts w:hint="eastAsia" w:ascii="宋体" w:hAnsi="宋体" w:cs="宋体"/>
          <w:sz w:val="28"/>
          <w:szCs w:val="28"/>
          <w:lang w:eastAsia="zh-CN"/>
        </w:rPr>
        <w:t>m</w:t>
      </w:r>
      <w:r>
        <w:rPr>
          <w:rFonts w:hint="eastAsia" w:ascii="宋体" w:hAnsi="宋体" w:cs="宋体"/>
          <w:sz w:val="28"/>
          <w:szCs w:val="28"/>
          <w:vertAlign w:val="superscript"/>
          <w:lang w:eastAsia="zh-CN"/>
        </w:rPr>
        <w:t>2</w:t>
      </w:r>
      <w:r>
        <w:rPr>
          <w:rFonts w:hint="eastAsia" w:ascii="宋体" w:hAnsi="宋体" w:eastAsia="宋体" w:cs="宋体"/>
          <w:sz w:val="28"/>
          <w:szCs w:val="28"/>
          <w:lang w:eastAsia="zh-CN"/>
        </w:rPr>
        <w:t>，矿区內无植被分布，采矿活动将不会造成植被压占和破坏。</w:t>
      </w:r>
    </w:p>
    <w:p w14:paraId="4B16371F">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成因：直接物理破坏（开挖、压占）、表土资源损失、土壤理化性质恶化（压实、贫瘠化）、微生境改变等。</w:t>
      </w:r>
    </w:p>
    <w:p w14:paraId="2E4D830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影响：加剧水土流失，破坏景观，丧失碳汇能力，导致区域小气候恶化，并为外来物种入侵创造条件。</w:t>
      </w:r>
    </w:p>
    <w:p w14:paraId="6EA819BA">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②生物多样性丧失</w:t>
      </w:r>
    </w:p>
    <w:p w14:paraId="41EFD647">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预测：因为矿区采矿场地面积较大，对生物多样性有一定影响。</w:t>
      </w:r>
    </w:p>
    <w:p w14:paraId="28FC363D">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③地表水系破坏</w:t>
      </w:r>
    </w:p>
    <w:p w14:paraId="6EB990D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矿山废水（主要为生活污水）不外排，不会对水土环境产生污染。矿山开采不产生有毒有害废水。矿山废水（主要为生活污水）先经过化粪池沉淀处理后，再采用小型地埋式一体化污水处理设备进行处理，处理达到《污水综合排放标准》一级标准后排放至附近地表水体，不会对水环境产生污染。</w:t>
      </w:r>
    </w:p>
    <w:p w14:paraId="5FF630F1">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矿山周边无污染源，预测条件下，矿山采矿活动对水环境污染及影响较轻。</w:t>
      </w:r>
    </w:p>
    <w:p w14:paraId="0DA5C992">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bookmarkStart w:id="111" w:name="bookmark101"/>
      <w:bookmarkEnd w:id="111"/>
      <w:bookmarkStart w:id="112" w:name="bookmark102"/>
      <w:bookmarkEnd w:id="112"/>
      <w:bookmarkStart w:id="113" w:name="bookmark104"/>
      <w:bookmarkEnd w:id="113"/>
      <w:bookmarkStart w:id="114" w:name="bookmark103"/>
      <w:bookmarkEnd w:id="114"/>
      <w:r>
        <w:rPr>
          <w:rFonts w:hint="eastAsia" w:ascii="宋体" w:hAnsi="宋体" w:eastAsia="宋体" w:cs="宋体"/>
          <w:sz w:val="28"/>
          <w:szCs w:val="28"/>
          <w:lang w:eastAsia="zh-CN"/>
        </w:rPr>
        <w:t>根据《青海省格尔木市茶格高速南建筑用砂2#矿地质简测报告》中对矿石样品化学分析结果显示：卵石、砾石、砂石、粉砂及少量亚砂土组成，具水平韵律。其中，卵石约占52.4%，砾石约占35.88%、砂及粘土等约占11.9%。砂石成份复杂，主要由石英岩、花岗闪长岩、片麻岩等组成，矿石本身不含有毒有害元素，后期开采过程中，不会对当地的土壤造成污染。</w:t>
      </w:r>
    </w:p>
    <w:p w14:paraId="2A45794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④地下水污染</w:t>
      </w:r>
    </w:p>
    <w:p w14:paraId="4C907B3E">
      <w:pPr>
        <w:pStyle w:val="6"/>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bookmarkStart w:id="115" w:name="_Toc24228"/>
      <w:r>
        <w:rPr>
          <w:rFonts w:hint="eastAsia" w:ascii="宋体" w:hAnsi="宋体" w:eastAsia="宋体" w:cs="宋体"/>
          <w:spacing w:val="-1"/>
          <w:sz w:val="28"/>
          <w:szCs w:val="28"/>
          <w:lang w:eastAsia="zh-CN"/>
        </w:rPr>
        <w:t>后期矿区内的生产生活废水经沉淀池过滤后用来再生产，多余的废水经处理，达标后再利用。再加上矿区没有地面径流或湖泊，因此后期对矿区水环境造成污染不严重。</w:t>
      </w:r>
    </w:p>
    <w:p w14:paraId="1588D727">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（三）诊断评价结果</w:t>
      </w:r>
      <w:bookmarkEnd w:id="115"/>
    </w:p>
    <w:p w14:paraId="3DB2BCE6">
      <w:pPr>
        <w:pStyle w:val="6"/>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bookmarkStart w:id="116" w:name="bookmark262"/>
      <w:bookmarkEnd w:id="116"/>
      <w:bookmarkStart w:id="117" w:name="_Toc28076"/>
      <w:r>
        <w:rPr>
          <w:rFonts w:hint="eastAsia" w:ascii="宋体" w:hAnsi="宋体" w:eastAsia="宋体" w:cs="宋体"/>
          <w:spacing w:val="-1"/>
          <w:sz w:val="28"/>
          <w:szCs w:val="28"/>
          <w:lang w:eastAsia="zh-CN"/>
        </w:rPr>
        <w:t>1、矿区生态环境保护与生态修复分区</w:t>
      </w:r>
      <w:bookmarkEnd w:id="117"/>
    </w:p>
    <w:p w14:paraId="0D05933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根据《矿山地质环境保护与恢复治理方案编制规范》（DZ/T0223—2011）附录E.1（见表3-11）矿区生态环境影响程度分级表，以矿区生态环境现状评估和预测评估结果进行分区。</w:t>
      </w:r>
      <w:r>
        <w:rPr>
          <w:rFonts w:hint="eastAsia" w:ascii="宋体" w:hAnsi="宋体" w:eastAsia="宋体" w:cs="宋体"/>
          <w:sz w:val="28"/>
          <w:szCs w:val="28"/>
          <w:lang w:val="en-US" w:eastAsia="zh-CN"/>
        </w:rPr>
        <w:t>采矿场地为</w:t>
      </w:r>
      <w:r>
        <w:rPr>
          <w:rFonts w:hint="eastAsia" w:ascii="宋体" w:hAnsi="宋体" w:eastAsia="宋体" w:cs="宋体"/>
          <w:sz w:val="28"/>
          <w:szCs w:val="28"/>
          <w:lang w:eastAsia="zh-CN"/>
        </w:rPr>
        <w:t>属于矿区生态环境破坏和影响严重区，工业场地</w:t>
      </w:r>
      <w:r>
        <w:rPr>
          <w:rFonts w:hint="eastAsia" w:ascii="宋体" w:hAnsi="宋体" w:eastAsia="宋体" w:cs="宋体"/>
          <w:sz w:val="28"/>
          <w:szCs w:val="28"/>
          <w:lang w:val="en-US" w:eastAsia="zh-CN"/>
        </w:rPr>
        <w:t>为</w:t>
      </w:r>
      <w:r>
        <w:rPr>
          <w:rFonts w:hint="eastAsia" w:ascii="宋体" w:hAnsi="宋体" w:eastAsia="宋体" w:cs="宋体"/>
          <w:sz w:val="28"/>
          <w:szCs w:val="28"/>
          <w:lang w:eastAsia="zh-CN"/>
        </w:rPr>
        <w:t>矿区生态环境破坏和影响较严重区，矿山道路及</w:t>
      </w:r>
      <w:r>
        <w:rPr>
          <w:rFonts w:hint="eastAsia" w:ascii="宋体" w:hAnsi="宋体" w:eastAsia="宋体" w:cs="宋体"/>
          <w:sz w:val="28"/>
          <w:szCs w:val="28"/>
          <w:lang w:val="en-US" w:eastAsia="zh-CN"/>
        </w:rPr>
        <w:t>外围区域为</w:t>
      </w:r>
      <w:r>
        <w:rPr>
          <w:rFonts w:hint="eastAsia" w:ascii="宋体" w:hAnsi="宋体" w:eastAsia="宋体" w:cs="宋体"/>
          <w:sz w:val="28"/>
          <w:szCs w:val="28"/>
          <w:lang w:eastAsia="zh-CN"/>
        </w:rPr>
        <w:t>矿区生态环境破坏和影响较轻区。</w:t>
      </w:r>
    </w:p>
    <w:p w14:paraId="54B75BBB">
      <w:pPr>
        <w:widowControl w:val="0"/>
        <w:kinsoku/>
        <w:adjustRightInd/>
        <w:snapToGrid/>
        <w:jc w:val="center"/>
        <w:rPr>
          <w:rFonts w:ascii="宋体" w:hAnsi="宋体" w:eastAsia="宋体" w:cs="宋体"/>
          <w:b/>
          <w:bCs/>
          <w:spacing w:val="-2"/>
          <w:lang w:eastAsia="zh-CN"/>
        </w:rPr>
      </w:pPr>
    </w:p>
    <w:p w14:paraId="2796EA59">
      <w:pPr>
        <w:widowControl w:val="0"/>
        <w:kinsoku/>
        <w:adjustRightInd/>
        <w:snapToGrid/>
        <w:jc w:val="center"/>
        <w:rPr>
          <w:rFonts w:ascii="宋体" w:hAnsi="宋体" w:eastAsia="宋体" w:cs="宋体"/>
          <w:b/>
          <w:bCs/>
          <w:spacing w:val="-2"/>
          <w:lang w:eastAsia="zh-CN"/>
        </w:rPr>
      </w:pPr>
    </w:p>
    <w:p w14:paraId="0E0483BB">
      <w:pPr>
        <w:widowControl w:val="0"/>
        <w:kinsoku/>
        <w:adjustRightInd/>
        <w:snapToGrid/>
        <w:jc w:val="center"/>
        <w:rPr>
          <w:rFonts w:ascii="宋体" w:hAnsi="宋体" w:eastAsia="宋体" w:cs="宋体"/>
          <w:b/>
          <w:bCs/>
          <w:spacing w:val="-2"/>
          <w:lang w:eastAsia="zh-CN"/>
        </w:rPr>
      </w:pPr>
    </w:p>
    <w:p w14:paraId="0307FBFA">
      <w:pPr>
        <w:widowControl w:val="0"/>
        <w:kinsoku/>
        <w:adjustRightInd/>
        <w:snapToGrid/>
        <w:jc w:val="center"/>
        <w:rPr>
          <w:rFonts w:ascii="宋体" w:hAnsi="宋体" w:eastAsia="宋体" w:cs="宋体"/>
          <w:b/>
          <w:bCs/>
          <w:spacing w:val="-2"/>
          <w:lang w:eastAsia="zh-CN"/>
        </w:rPr>
      </w:pPr>
    </w:p>
    <w:p w14:paraId="4FC20CAF">
      <w:pPr>
        <w:widowControl w:val="0"/>
        <w:kinsoku/>
        <w:adjustRightInd/>
        <w:snapToGrid/>
        <w:jc w:val="center"/>
        <w:rPr>
          <w:rFonts w:ascii="宋体" w:hAnsi="宋体" w:eastAsia="宋体" w:cs="宋体"/>
          <w:b/>
          <w:bCs/>
          <w:spacing w:val="-2"/>
          <w:lang w:eastAsia="zh-CN"/>
        </w:rPr>
      </w:pPr>
    </w:p>
    <w:p w14:paraId="69B05E4B">
      <w:pPr>
        <w:widowControl w:val="0"/>
        <w:kinsoku/>
        <w:adjustRightInd/>
        <w:snapToGrid/>
        <w:jc w:val="center"/>
        <w:rPr>
          <w:rFonts w:ascii="宋体" w:hAnsi="宋体" w:eastAsia="宋体" w:cs="宋体"/>
          <w:b/>
          <w:bCs/>
          <w:spacing w:val="-2"/>
          <w:lang w:eastAsia="zh-CN"/>
        </w:rPr>
      </w:pPr>
    </w:p>
    <w:p w14:paraId="0B5F0EBF">
      <w:pPr>
        <w:widowControl w:val="0"/>
        <w:kinsoku/>
        <w:adjustRightInd/>
        <w:snapToGrid/>
        <w:jc w:val="center"/>
        <w:rPr>
          <w:rFonts w:ascii="宋体" w:hAnsi="宋体" w:eastAsia="宋体" w:cs="宋体"/>
          <w:b/>
          <w:bCs/>
          <w:spacing w:val="-2"/>
          <w:lang w:eastAsia="zh-CN"/>
        </w:rPr>
      </w:pPr>
    </w:p>
    <w:p w14:paraId="29ED0EF4">
      <w:pPr>
        <w:widowControl w:val="0"/>
        <w:kinsoku/>
        <w:adjustRightInd/>
        <w:snapToGrid/>
        <w:jc w:val="center"/>
        <w:rPr>
          <w:rFonts w:hint="eastAsia" w:ascii="宋体" w:hAnsi="宋体" w:eastAsia="宋体" w:cs="宋体"/>
          <w:lang w:eastAsia="zh-CN"/>
        </w:rPr>
      </w:pPr>
      <w:r>
        <w:rPr>
          <w:rFonts w:ascii="宋体" w:hAnsi="宋体" w:eastAsia="宋体" w:cs="宋体"/>
          <w:b/>
          <w:bCs/>
          <w:spacing w:val="-2"/>
          <w:lang w:eastAsia="zh-CN"/>
        </w:rPr>
        <w:t>表3-11</w:t>
      </w:r>
      <w:r>
        <w:rPr>
          <w:rFonts w:hint="eastAsia" w:ascii="宋体" w:hAnsi="宋体" w:eastAsia="宋体" w:cs="宋体"/>
          <w:b/>
          <w:bCs/>
          <w:spacing w:val="-2"/>
          <w:lang w:eastAsia="zh-CN"/>
        </w:rPr>
        <w:t xml:space="preserve">  </w:t>
      </w:r>
      <w:r>
        <w:rPr>
          <w:rFonts w:ascii="宋体" w:hAnsi="宋体" w:eastAsia="宋体" w:cs="宋体"/>
          <w:b/>
          <w:bCs/>
          <w:spacing w:val="-2"/>
          <w:lang w:eastAsia="zh-CN"/>
        </w:rPr>
        <w:t>矿区生态环境影响程度分级表</w:t>
      </w:r>
    </w:p>
    <w:tbl>
      <w:tblPr>
        <w:tblStyle w:val="22"/>
        <w:tblW w:w="8581" w:type="dxa"/>
        <w:tblInd w:w="4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2"/>
        <w:gridCol w:w="2327"/>
        <w:gridCol w:w="2112"/>
        <w:gridCol w:w="1815"/>
        <w:gridCol w:w="1335"/>
      </w:tblGrid>
      <w:tr w14:paraId="262464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992" w:type="dxa"/>
            <w:vAlign w:val="center"/>
          </w:tcPr>
          <w:p w14:paraId="0663710C">
            <w:pPr>
              <w:kinsoku/>
              <w:adjustRightInd/>
              <w:snapToGrid/>
              <w:jc w:val="center"/>
              <w:rPr>
                <w:rFonts w:hint="eastAsia" w:ascii="宋体" w:hAnsi="宋体" w:eastAsia="宋体" w:cs="宋体"/>
                <w:spacing w:val="15"/>
              </w:rPr>
            </w:pPr>
            <w:r>
              <w:rPr>
                <w:rFonts w:hint="eastAsia" w:ascii="宋体" w:hAnsi="宋体" w:eastAsia="宋体" w:cs="宋体"/>
                <w:spacing w:val="15"/>
              </w:rPr>
              <w:t>影响程度分级</w:t>
            </w:r>
          </w:p>
        </w:tc>
        <w:tc>
          <w:tcPr>
            <w:tcW w:w="2327" w:type="dxa"/>
            <w:vAlign w:val="center"/>
          </w:tcPr>
          <w:p w14:paraId="2FF49AFF">
            <w:pPr>
              <w:kinsoku/>
              <w:adjustRightInd/>
              <w:snapToGrid/>
              <w:jc w:val="center"/>
              <w:rPr>
                <w:rFonts w:hint="eastAsia" w:ascii="宋体" w:hAnsi="宋体" w:eastAsia="宋体" w:cs="宋体"/>
                <w:spacing w:val="15"/>
              </w:rPr>
            </w:pPr>
            <w:r>
              <w:rPr>
                <w:rFonts w:hint="eastAsia" w:ascii="宋体" w:hAnsi="宋体" w:eastAsia="宋体" w:cs="宋体"/>
                <w:spacing w:val="15"/>
              </w:rPr>
              <w:t>地质灾害</w:t>
            </w:r>
          </w:p>
        </w:tc>
        <w:tc>
          <w:tcPr>
            <w:tcW w:w="2112" w:type="dxa"/>
            <w:vAlign w:val="center"/>
          </w:tcPr>
          <w:p w14:paraId="55EB06F8">
            <w:pPr>
              <w:kinsoku/>
              <w:adjustRightInd/>
              <w:snapToGrid/>
              <w:jc w:val="center"/>
              <w:rPr>
                <w:rFonts w:hint="eastAsia" w:ascii="宋体" w:hAnsi="宋体" w:eastAsia="宋体" w:cs="宋体"/>
                <w:spacing w:val="15"/>
              </w:rPr>
            </w:pPr>
            <w:r>
              <w:rPr>
                <w:rFonts w:hint="eastAsia" w:ascii="宋体" w:hAnsi="宋体" w:eastAsia="宋体" w:cs="宋体"/>
                <w:spacing w:val="15"/>
              </w:rPr>
              <w:t>含水层</w:t>
            </w:r>
          </w:p>
        </w:tc>
        <w:tc>
          <w:tcPr>
            <w:tcW w:w="1815" w:type="dxa"/>
            <w:vAlign w:val="center"/>
          </w:tcPr>
          <w:p w14:paraId="34774C3C">
            <w:pPr>
              <w:kinsoku/>
              <w:adjustRightInd/>
              <w:snapToGrid/>
              <w:jc w:val="center"/>
              <w:rPr>
                <w:rFonts w:hint="eastAsia" w:ascii="宋体" w:hAnsi="宋体" w:eastAsia="宋体" w:cs="宋体"/>
                <w:spacing w:val="15"/>
              </w:rPr>
            </w:pPr>
            <w:r>
              <w:rPr>
                <w:rFonts w:hint="eastAsia" w:ascii="宋体" w:hAnsi="宋体" w:eastAsia="宋体" w:cs="宋体"/>
                <w:spacing w:val="15"/>
              </w:rPr>
              <w:t>地形地貌</w:t>
            </w:r>
          </w:p>
        </w:tc>
        <w:tc>
          <w:tcPr>
            <w:tcW w:w="1335" w:type="dxa"/>
            <w:vAlign w:val="center"/>
          </w:tcPr>
          <w:p w14:paraId="5FB4621A">
            <w:pPr>
              <w:kinsoku/>
              <w:adjustRightInd/>
              <w:snapToGrid/>
              <w:jc w:val="center"/>
              <w:rPr>
                <w:rFonts w:hint="eastAsia" w:ascii="宋体" w:hAnsi="宋体" w:eastAsia="宋体" w:cs="宋体"/>
                <w:spacing w:val="15"/>
              </w:rPr>
            </w:pPr>
            <w:r>
              <w:rPr>
                <w:rFonts w:hint="eastAsia" w:ascii="宋体" w:hAnsi="宋体" w:eastAsia="宋体" w:cs="宋体"/>
                <w:spacing w:val="15"/>
              </w:rPr>
              <w:t>土地资源</w:t>
            </w:r>
          </w:p>
        </w:tc>
      </w:tr>
      <w:tr w14:paraId="3398E6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3" w:hRule="atLeast"/>
        </w:trPr>
        <w:tc>
          <w:tcPr>
            <w:tcW w:w="992" w:type="dxa"/>
            <w:vAlign w:val="center"/>
          </w:tcPr>
          <w:p w14:paraId="5D22E470">
            <w:pPr>
              <w:spacing w:before="62" w:line="233" w:lineRule="auto"/>
              <w:jc w:val="center"/>
              <w:rPr>
                <w:rFonts w:hint="eastAsia" w:ascii="宋体" w:hAnsi="宋体" w:eastAsia="宋体" w:cs="宋体"/>
              </w:rPr>
            </w:pPr>
            <w:r>
              <w:rPr>
                <w:rFonts w:hint="eastAsia" w:ascii="宋体" w:hAnsi="宋体" w:eastAsia="宋体" w:cs="宋体"/>
                <w:spacing w:val="2"/>
              </w:rPr>
              <w:t>严重</w:t>
            </w:r>
          </w:p>
        </w:tc>
        <w:tc>
          <w:tcPr>
            <w:tcW w:w="2327" w:type="dxa"/>
            <w:vAlign w:val="center"/>
          </w:tcPr>
          <w:p w14:paraId="1EA28657">
            <w:pPr>
              <w:kinsoku/>
              <w:adjustRightInd/>
              <w:snapToGrid/>
              <w:ind w:firstLine="240" w:firstLineChars="100"/>
              <w:jc w:val="both"/>
              <w:rPr>
                <w:rFonts w:hint="eastAsia" w:ascii="宋体" w:hAnsi="宋体" w:eastAsia="宋体" w:cs="宋体"/>
                <w:lang w:eastAsia="zh-CN"/>
              </w:rPr>
            </w:pPr>
            <w:r>
              <w:rPr>
                <w:rFonts w:hint="eastAsia" w:ascii="宋体" w:hAnsi="宋体" w:eastAsia="宋体" w:cs="宋体"/>
                <w:spacing w:val="15"/>
                <w:lang w:eastAsia="zh-CN"/>
              </w:rPr>
              <w:t>地质灾害规模大，</w:t>
            </w:r>
            <w:r>
              <w:rPr>
                <w:rFonts w:hint="eastAsia" w:ascii="宋体" w:hAnsi="宋体" w:eastAsia="宋体" w:cs="宋体"/>
                <w:spacing w:val="25"/>
                <w:lang w:eastAsia="zh-CN"/>
              </w:rPr>
              <w:t>发生的可能性大影</w:t>
            </w:r>
            <w:r>
              <w:rPr>
                <w:rFonts w:hint="eastAsia" w:ascii="宋体" w:hAnsi="宋体" w:eastAsia="宋体" w:cs="宋体"/>
                <w:spacing w:val="-4"/>
                <w:lang w:eastAsia="zh-CN"/>
              </w:rPr>
              <w:t>响到城市、乡镇、</w:t>
            </w:r>
            <w:r>
              <w:rPr>
                <w:rFonts w:hint="eastAsia" w:ascii="宋体" w:hAnsi="宋体" w:eastAsia="宋体" w:cs="宋体"/>
                <w:spacing w:val="6"/>
                <w:lang w:eastAsia="zh-CN"/>
              </w:rPr>
              <w:t>重要行政村、重要交通干线、重要工</w:t>
            </w:r>
            <w:r>
              <w:rPr>
                <w:rFonts w:hint="eastAsia" w:ascii="宋体" w:hAnsi="宋体" w:eastAsia="宋体" w:cs="宋体"/>
                <w:spacing w:val="25"/>
                <w:lang w:eastAsia="zh-CN"/>
              </w:rPr>
              <w:t>程设施及各类保护区安全造成或可能造成直接经济损失</w:t>
            </w:r>
            <w:r>
              <w:rPr>
                <w:rFonts w:hint="eastAsia" w:ascii="宋体" w:hAnsi="宋体" w:eastAsia="宋体" w:cs="宋体"/>
                <w:spacing w:val="10"/>
                <w:lang w:eastAsia="zh-CN"/>
              </w:rPr>
              <w:t>大于500万受威胁</w:t>
            </w:r>
            <w:r>
              <w:rPr>
                <w:rFonts w:hint="eastAsia" w:ascii="宋体" w:hAnsi="宋体" w:eastAsia="宋体" w:cs="宋体"/>
                <w:spacing w:val="2"/>
                <w:lang w:eastAsia="zh-CN"/>
              </w:rPr>
              <w:t>人数大于100人</w:t>
            </w:r>
          </w:p>
        </w:tc>
        <w:tc>
          <w:tcPr>
            <w:tcW w:w="2112" w:type="dxa"/>
            <w:vAlign w:val="center"/>
          </w:tcPr>
          <w:p w14:paraId="5C086F6D">
            <w:pPr>
              <w:kinsoku/>
              <w:adjustRightInd/>
              <w:snapToGrid/>
              <w:ind w:firstLine="240" w:firstLineChars="100"/>
              <w:jc w:val="both"/>
              <w:rPr>
                <w:rFonts w:hint="eastAsia" w:ascii="宋体" w:hAnsi="宋体" w:eastAsia="宋体" w:cs="宋体"/>
                <w:lang w:eastAsia="zh-CN"/>
              </w:rPr>
            </w:pPr>
            <w:r>
              <w:rPr>
                <w:rFonts w:hint="eastAsia" w:ascii="宋体" w:hAnsi="宋体" w:eastAsia="宋体" w:cs="宋体"/>
                <w:spacing w:val="15"/>
                <w:lang w:eastAsia="zh-CN"/>
              </w:rPr>
              <w:t>矿床充水主要含水层结构破坏，产生导水通道矿井正常涌水量大于10000m</w:t>
            </w:r>
            <w:r>
              <w:rPr>
                <w:rFonts w:hint="eastAsia" w:ascii="宋体" w:hAnsi="宋体" w:eastAsia="宋体" w:cs="宋体"/>
                <w:spacing w:val="15"/>
                <w:vertAlign w:val="superscript"/>
                <w:lang w:eastAsia="zh-CN"/>
              </w:rPr>
              <w:t>3</w:t>
            </w:r>
            <w:r>
              <w:rPr>
                <w:rFonts w:hint="eastAsia" w:ascii="宋体" w:hAnsi="宋体" w:eastAsia="宋体" w:cs="宋体"/>
                <w:spacing w:val="15"/>
                <w:lang w:eastAsia="zh-CN"/>
              </w:rPr>
              <w:t>/d区域地下水水位下降矿区周围主要含水层（带）水位大幅下降，或呈疏干状态，地表水体漏失严重，不同含水层（组）串通水质恶化影响集中水源地供水，矿区及周围生产、生活困难</w:t>
            </w:r>
          </w:p>
        </w:tc>
        <w:tc>
          <w:tcPr>
            <w:tcW w:w="1815" w:type="dxa"/>
            <w:vAlign w:val="center"/>
          </w:tcPr>
          <w:p w14:paraId="4AA78ECD">
            <w:pPr>
              <w:kinsoku/>
              <w:adjustRightInd/>
              <w:snapToGrid/>
              <w:ind w:firstLine="240" w:firstLineChars="100"/>
              <w:jc w:val="both"/>
              <w:rPr>
                <w:rFonts w:hint="eastAsia" w:ascii="宋体" w:hAnsi="宋体" w:eastAsia="宋体" w:cs="宋体"/>
                <w:lang w:eastAsia="zh-CN"/>
              </w:rPr>
            </w:pPr>
            <w:r>
              <w:rPr>
                <w:rFonts w:hint="eastAsia" w:ascii="宋体" w:hAnsi="宋体" w:eastAsia="宋体" w:cs="宋体"/>
                <w:spacing w:val="15"/>
                <w:lang w:eastAsia="zh-CN"/>
              </w:rPr>
              <w:t>对原生的地形地貌景观和破坏程度大对各类自然保护区、人文景观、风景旅游区、城市周围、主要交通干线两侧可视范围内地形地貌景观影响严重</w:t>
            </w:r>
          </w:p>
        </w:tc>
        <w:tc>
          <w:tcPr>
            <w:tcW w:w="1335" w:type="dxa"/>
            <w:vAlign w:val="center"/>
          </w:tcPr>
          <w:p w14:paraId="191E1F06">
            <w:pPr>
              <w:kinsoku/>
              <w:adjustRightInd/>
              <w:snapToGrid/>
              <w:ind w:firstLine="240" w:firstLineChars="100"/>
              <w:jc w:val="both"/>
              <w:rPr>
                <w:rFonts w:hint="eastAsia" w:ascii="宋体" w:hAnsi="宋体" w:eastAsia="宋体" w:cs="宋体"/>
              </w:rPr>
            </w:pPr>
            <w:r>
              <w:rPr>
                <w:rFonts w:hint="eastAsia" w:ascii="宋体" w:hAnsi="宋体" w:eastAsia="宋体" w:cs="宋体"/>
                <w:spacing w:val="15"/>
              </w:rPr>
              <w:t>破坏基本农田破坏耕地大于2hm</w:t>
            </w:r>
            <w:r>
              <w:rPr>
                <w:rFonts w:hint="eastAsia" w:ascii="宋体" w:hAnsi="宋体" w:eastAsia="宋体" w:cs="宋体"/>
                <w:spacing w:val="15"/>
                <w:vertAlign w:val="superscript"/>
                <w:lang w:eastAsia="zh-CN"/>
              </w:rPr>
              <w:t>2</w:t>
            </w:r>
            <w:r>
              <w:rPr>
                <w:rFonts w:hint="eastAsia" w:ascii="宋体" w:hAnsi="宋体" w:eastAsia="宋体" w:cs="宋体"/>
                <w:spacing w:val="15"/>
              </w:rPr>
              <w:t>破坏林地或草地大于4hm</w:t>
            </w:r>
            <w:r>
              <w:rPr>
                <w:rFonts w:hint="eastAsia" w:ascii="宋体" w:hAnsi="宋体" w:eastAsia="宋体" w:cs="宋体"/>
                <w:spacing w:val="15"/>
                <w:vertAlign w:val="superscript"/>
                <w:lang w:eastAsia="zh-CN"/>
              </w:rPr>
              <w:t>2</w:t>
            </w:r>
            <w:r>
              <w:rPr>
                <w:rFonts w:hint="eastAsia" w:ascii="宋体" w:hAnsi="宋体" w:eastAsia="宋体" w:cs="宋体"/>
                <w:spacing w:val="15"/>
              </w:rPr>
              <w:t>破坏荒地或未开发利用土地大于20hm</w:t>
            </w:r>
            <w:r>
              <w:rPr>
                <w:rFonts w:hint="eastAsia" w:ascii="宋体" w:hAnsi="宋体" w:eastAsia="宋体" w:cs="宋体"/>
                <w:spacing w:val="15"/>
                <w:vertAlign w:val="superscript"/>
                <w:lang w:eastAsia="zh-CN"/>
              </w:rPr>
              <w:t>2</w:t>
            </w:r>
          </w:p>
        </w:tc>
      </w:tr>
      <w:tr w14:paraId="544269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4" w:hRule="atLeast"/>
        </w:trPr>
        <w:tc>
          <w:tcPr>
            <w:tcW w:w="992" w:type="dxa"/>
            <w:vAlign w:val="center"/>
          </w:tcPr>
          <w:p w14:paraId="0BD9F93F">
            <w:pPr>
              <w:spacing w:before="62" w:line="231" w:lineRule="auto"/>
              <w:jc w:val="center"/>
              <w:rPr>
                <w:rFonts w:hint="eastAsia" w:ascii="宋体" w:hAnsi="宋体" w:eastAsia="宋体" w:cs="宋体"/>
              </w:rPr>
            </w:pPr>
            <w:r>
              <w:rPr>
                <w:rFonts w:hint="eastAsia" w:ascii="宋体" w:hAnsi="宋体" w:eastAsia="宋体" w:cs="宋体"/>
                <w:spacing w:val="7"/>
              </w:rPr>
              <w:t>较严重</w:t>
            </w:r>
          </w:p>
        </w:tc>
        <w:tc>
          <w:tcPr>
            <w:tcW w:w="2327" w:type="dxa"/>
            <w:vAlign w:val="center"/>
          </w:tcPr>
          <w:p w14:paraId="443BAC05">
            <w:pPr>
              <w:kinsoku/>
              <w:adjustRightInd/>
              <w:snapToGrid/>
              <w:ind w:firstLine="240" w:firstLineChars="100"/>
              <w:jc w:val="both"/>
              <w:rPr>
                <w:rFonts w:hint="eastAsia" w:ascii="宋体" w:hAnsi="宋体" w:eastAsia="宋体" w:cs="宋体"/>
                <w:lang w:eastAsia="zh-CN"/>
              </w:rPr>
            </w:pPr>
            <w:r>
              <w:rPr>
                <w:rFonts w:hint="eastAsia" w:ascii="宋体" w:hAnsi="宋体" w:eastAsia="宋体" w:cs="宋体"/>
                <w:spacing w:val="15"/>
                <w:lang w:eastAsia="zh-CN"/>
              </w:rPr>
              <w:t>地质灾害规模中等，发生的可能性较大影响到村庄、居民聚集区一般交通线和较重要工程设施安全造成或可能造成直接经济损失100-500万元受威胁人数10-100人</w:t>
            </w:r>
          </w:p>
        </w:tc>
        <w:tc>
          <w:tcPr>
            <w:tcW w:w="2112" w:type="dxa"/>
            <w:vAlign w:val="center"/>
          </w:tcPr>
          <w:p w14:paraId="40431641">
            <w:pPr>
              <w:kinsoku/>
              <w:adjustRightInd/>
              <w:snapToGrid/>
              <w:ind w:firstLine="240" w:firstLineChars="100"/>
              <w:jc w:val="both"/>
              <w:rPr>
                <w:rFonts w:hint="eastAsia" w:ascii="宋体" w:hAnsi="宋体" w:eastAsia="宋体" w:cs="宋体"/>
                <w:lang w:eastAsia="zh-CN"/>
              </w:rPr>
            </w:pPr>
            <w:r>
              <w:rPr>
                <w:rFonts w:hint="eastAsia" w:ascii="宋体" w:hAnsi="宋体" w:eastAsia="宋体" w:cs="宋体"/>
                <w:spacing w:val="15"/>
                <w:lang w:eastAsia="zh-CN"/>
              </w:rPr>
              <w:t>矿井正常涌水量3000-10000m</w:t>
            </w:r>
            <w:r>
              <w:rPr>
                <w:rFonts w:hint="eastAsia" w:ascii="宋体" w:hAnsi="宋体" w:eastAsia="宋体" w:cs="宋体"/>
                <w:spacing w:val="15"/>
                <w:vertAlign w:val="superscript"/>
                <w:lang w:eastAsia="zh-CN"/>
              </w:rPr>
              <w:t>3</w:t>
            </w:r>
            <w:r>
              <w:rPr>
                <w:rFonts w:hint="eastAsia" w:ascii="宋体" w:hAnsi="宋体" w:eastAsia="宋体" w:cs="宋体"/>
                <w:spacing w:val="15"/>
                <w:lang w:eastAsia="zh-CN"/>
              </w:rPr>
              <w:t>/d矿区及周围主要含水层（带）水位下降幅度较大，地下水呈半疏干状态矿区及周围地表水体漏失较严重影响矿区及周围部分生产生活供水</w:t>
            </w:r>
          </w:p>
        </w:tc>
        <w:tc>
          <w:tcPr>
            <w:tcW w:w="1815" w:type="dxa"/>
            <w:vAlign w:val="center"/>
          </w:tcPr>
          <w:p w14:paraId="68B99EAB">
            <w:pPr>
              <w:kinsoku/>
              <w:adjustRightInd/>
              <w:snapToGrid/>
              <w:ind w:firstLine="240" w:firstLineChars="100"/>
              <w:jc w:val="both"/>
              <w:rPr>
                <w:rFonts w:hint="eastAsia" w:ascii="宋体" w:hAnsi="宋体" w:eastAsia="宋体" w:cs="宋体"/>
                <w:lang w:eastAsia="zh-CN"/>
              </w:rPr>
            </w:pPr>
            <w:r>
              <w:rPr>
                <w:rFonts w:hint="eastAsia" w:ascii="宋体" w:hAnsi="宋体" w:eastAsia="宋体" w:cs="宋体"/>
                <w:spacing w:val="15"/>
                <w:lang w:eastAsia="zh-CN"/>
              </w:rPr>
              <w:t>对原生的地形地貌景观影响和破坏程度较大对各类自然保护区、人文景观、风景旅游区、城市周围、主要交通干线两侧可视范围内地形地貌景观影响较重</w:t>
            </w:r>
          </w:p>
        </w:tc>
        <w:tc>
          <w:tcPr>
            <w:tcW w:w="1335" w:type="dxa"/>
            <w:vAlign w:val="center"/>
          </w:tcPr>
          <w:p w14:paraId="3408E4E8">
            <w:pPr>
              <w:kinsoku/>
              <w:adjustRightInd/>
              <w:snapToGrid/>
              <w:ind w:firstLine="240" w:firstLineChars="100"/>
              <w:jc w:val="both"/>
              <w:rPr>
                <w:rFonts w:hint="eastAsia" w:ascii="宋体" w:hAnsi="宋体" w:eastAsia="宋体" w:cs="宋体"/>
              </w:rPr>
            </w:pPr>
            <w:r>
              <w:rPr>
                <w:rFonts w:hint="eastAsia" w:ascii="宋体" w:hAnsi="宋体" w:eastAsia="宋体" w:cs="宋体"/>
                <w:spacing w:val="15"/>
              </w:rPr>
              <w:t>破坏耕地小于等于2hm</w:t>
            </w:r>
            <w:r>
              <w:rPr>
                <w:rFonts w:hint="eastAsia" w:ascii="宋体" w:hAnsi="宋体" w:eastAsia="宋体" w:cs="宋体"/>
                <w:spacing w:val="15"/>
                <w:vertAlign w:val="superscript"/>
                <w:lang w:eastAsia="zh-CN"/>
              </w:rPr>
              <w:t>2</w:t>
            </w:r>
            <w:r>
              <w:rPr>
                <w:rFonts w:hint="eastAsia" w:ascii="宋体" w:hAnsi="宋体" w:eastAsia="宋体" w:cs="宋体"/>
                <w:spacing w:val="15"/>
              </w:rPr>
              <w:t>破坏林地或草地2-4hm</w:t>
            </w:r>
            <w:r>
              <w:rPr>
                <w:rFonts w:hint="eastAsia" w:ascii="宋体" w:hAnsi="宋体" w:eastAsia="宋体" w:cs="宋体"/>
                <w:spacing w:val="15"/>
                <w:vertAlign w:val="superscript"/>
                <w:lang w:eastAsia="zh-CN"/>
              </w:rPr>
              <w:t>2</w:t>
            </w:r>
            <w:r>
              <w:rPr>
                <w:rFonts w:hint="eastAsia" w:ascii="宋体" w:hAnsi="宋体" w:eastAsia="宋体" w:cs="宋体"/>
                <w:spacing w:val="15"/>
              </w:rPr>
              <w:t>破坏荒山或未开发利用土10-20hm</w:t>
            </w:r>
            <w:r>
              <w:rPr>
                <w:rFonts w:hint="eastAsia" w:ascii="宋体" w:hAnsi="宋体" w:eastAsia="宋体" w:cs="宋体"/>
                <w:spacing w:val="15"/>
                <w:vertAlign w:val="superscript"/>
                <w:lang w:eastAsia="zh-CN"/>
              </w:rPr>
              <w:t>2</w:t>
            </w:r>
          </w:p>
        </w:tc>
      </w:tr>
      <w:tr w14:paraId="16D20B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1" w:hRule="atLeast"/>
        </w:trPr>
        <w:tc>
          <w:tcPr>
            <w:tcW w:w="992" w:type="dxa"/>
            <w:vAlign w:val="center"/>
          </w:tcPr>
          <w:p w14:paraId="12D64FCF">
            <w:pPr>
              <w:spacing w:before="62" w:line="231" w:lineRule="auto"/>
              <w:jc w:val="center"/>
              <w:rPr>
                <w:rFonts w:hint="eastAsia" w:ascii="宋体" w:hAnsi="宋体" w:eastAsia="宋体" w:cs="宋体"/>
              </w:rPr>
            </w:pPr>
            <w:r>
              <w:rPr>
                <w:rFonts w:hint="eastAsia" w:ascii="宋体" w:hAnsi="宋体" w:eastAsia="宋体" w:cs="宋体"/>
                <w:spacing w:val="3"/>
              </w:rPr>
              <w:t>较轻</w:t>
            </w:r>
          </w:p>
        </w:tc>
        <w:tc>
          <w:tcPr>
            <w:tcW w:w="2327" w:type="dxa"/>
            <w:vAlign w:val="center"/>
          </w:tcPr>
          <w:p w14:paraId="42C078CA">
            <w:pPr>
              <w:kinsoku/>
              <w:adjustRightInd/>
              <w:snapToGrid/>
              <w:ind w:firstLine="240" w:firstLineChars="100"/>
              <w:jc w:val="both"/>
              <w:rPr>
                <w:rFonts w:hint="eastAsia" w:ascii="宋体" w:hAnsi="宋体" w:eastAsia="宋体" w:cs="宋体"/>
                <w:lang w:eastAsia="zh-CN"/>
              </w:rPr>
            </w:pPr>
            <w:bookmarkStart w:id="118" w:name="bookmark263"/>
            <w:bookmarkEnd w:id="118"/>
            <w:r>
              <w:rPr>
                <w:rFonts w:hint="eastAsia" w:ascii="宋体" w:hAnsi="宋体" w:eastAsia="宋体" w:cs="宋体"/>
                <w:spacing w:val="15"/>
                <w:lang w:eastAsia="zh-CN"/>
              </w:rPr>
              <w:t>地质灾害规模小，发生的可能性小影响到分散性居民、一般性小规模建筑及设施造成或可能造成直接经济损失小于100万元受威胁人数小于10人</w:t>
            </w:r>
          </w:p>
        </w:tc>
        <w:tc>
          <w:tcPr>
            <w:tcW w:w="2112" w:type="dxa"/>
            <w:vAlign w:val="center"/>
          </w:tcPr>
          <w:p w14:paraId="6CE6A6E3">
            <w:pPr>
              <w:kinsoku/>
              <w:adjustRightInd/>
              <w:snapToGrid/>
              <w:ind w:firstLine="240" w:firstLineChars="100"/>
              <w:jc w:val="both"/>
              <w:rPr>
                <w:rFonts w:hint="eastAsia" w:ascii="宋体" w:hAnsi="宋体" w:eastAsia="宋体" w:cs="宋体"/>
                <w:lang w:eastAsia="zh-CN"/>
              </w:rPr>
            </w:pPr>
            <w:r>
              <w:rPr>
                <w:rFonts w:hint="eastAsia" w:ascii="宋体" w:hAnsi="宋体" w:eastAsia="宋体" w:cs="宋体"/>
                <w:spacing w:val="15"/>
                <w:lang w:eastAsia="zh-CN"/>
              </w:rPr>
              <w:t>矿井正常涌水量小于3000m</w:t>
            </w:r>
            <w:r>
              <w:rPr>
                <w:rFonts w:hint="eastAsia" w:ascii="宋体" w:hAnsi="宋体" w:eastAsia="宋体" w:cs="宋体"/>
                <w:spacing w:val="15"/>
                <w:vertAlign w:val="superscript"/>
                <w:lang w:eastAsia="zh-CN"/>
              </w:rPr>
              <w:t>3</w:t>
            </w:r>
            <w:r>
              <w:rPr>
                <w:rFonts w:hint="eastAsia" w:ascii="宋体" w:hAnsi="宋体" w:eastAsia="宋体" w:cs="宋体"/>
                <w:spacing w:val="15"/>
                <w:lang w:eastAsia="zh-CN"/>
              </w:rPr>
              <w:t>/d矿区及周围主要含水层水位下降幅度小矿区及周围地表水体未漏失未影响到矿区及周围生产生活用水</w:t>
            </w:r>
          </w:p>
        </w:tc>
        <w:tc>
          <w:tcPr>
            <w:tcW w:w="1815" w:type="dxa"/>
            <w:vAlign w:val="center"/>
          </w:tcPr>
          <w:p w14:paraId="679D3392">
            <w:pPr>
              <w:spacing w:before="85" w:line="294" w:lineRule="auto"/>
              <w:ind w:right="96" w:firstLine="240" w:firstLineChars="100"/>
              <w:jc w:val="both"/>
              <w:rPr>
                <w:rFonts w:hint="eastAsia" w:ascii="宋体" w:hAnsi="宋体" w:eastAsia="宋体" w:cs="宋体"/>
                <w:lang w:eastAsia="zh-CN"/>
              </w:rPr>
            </w:pPr>
            <w:r>
              <w:rPr>
                <w:rFonts w:hint="eastAsia" w:ascii="宋体" w:hAnsi="宋体" w:eastAsia="宋体" w:cs="宋体"/>
                <w:spacing w:val="15"/>
                <w:lang w:eastAsia="zh-CN"/>
              </w:rPr>
              <w:t>对原生的地形地貌景观影响和破坏程度小对各类自然保护区、人文景观、风景旅游区、城市周围、主要交通干线两侧可视范围内地形地貌景观影响较轻</w:t>
            </w:r>
          </w:p>
        </w:tc>
        <w:tc>
          <w:tcPr>
            <w:tcW w:w="1335" w:type="dxa"/>
            <w:vAlign w:val="center"/>
          </w:tcPr>
          <w:p w14:paraId="14D05177">
            <w:pPr>
              <w:kinsoku/>
              <w:adjustRightInd/>
              <w:snapToGrid/>
              <w:ind w:firstLine="240" w:firstLineChars="100"/>
              <w:jc w:val="both"/>
              <w:rPr>
                <w:rFonts w:hint="eastAsia" w:ascii="宋体" w:hAnsi="宋体" w:eastAsia="宋体" w:cs="宋体"/>
              </w:rPr>
            </w:pPr>
            <w:r>
              <w:rPr>
                <w:rFonts w:hint="eastAsia" w:ascii="宋体" w:hAnsi="宋体" w:eastAsia="宋体" w:cs="宋体"/>
                <w:spacing w:val="15"/>
              </w:rPr>
              <w:t>破坏林地或草地小于等于2hm</w:t>
            </w:r>
            <w:r>
              <w:rPr>
                <w:rFonts w:hint="eastAsia" w:ascii="宋体" w:hAnsi="宋体" w:eastAsia="宋体" w:cs="宋体"/>
                <w:spacing w:val="15"/>
                <w:vertAlign w:val="superscript"/>
              </w:rPr>
              <w:t>2</w:t>
            </w:r>
            <w:r>
              <w:rPr>
                <w:rFonts w:hint="eastAsia" w:ascii="宋体" w:hAnsi="宋体" w:eastAsia="宋体" w:cs="宋体"/>
                <w:spacing w:val="15"/>
              </w:rPr>
              <w:t>破坏荒山或未开发利用土地小于等于10hm</w:t>
            </w:r>
            <w:r>
              <w:rPr>
                <w:rFonts w:hint="eastAsia" w:ascii="宋体" w:hAnsi="宋体" w:eastAsia="宋体" w:cs="宋体"/>
                <w:spacing w:val="15"/>
                <w:vertAlign w:val="superscript"/>
              </w:rPr>
              <w:t>2</w:t>
            </w:r>
          </w:p>
        </w:tc>
      </w:tr>
      <w:tr w14:paraId="782A77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581" w:type="dxa"/>
            <w:gridSpan w:val="5"/>
          </w:tcPr>
          <w:p w14:paraId="13106CCC">
            <w:pPr>
              <w:spacing w:before="83" w:line="224" w:lineRule="auto"/>
              <w:ind w:left="143"/>
              <w:rPr>
                <w:rFonts w:hint="eastAsia" w:ascii="宋体" w:hAnsi="宋体" w:eastAsia="宋体" w:cs="宋体"/>
                <w:lang w:eastAsia="zh-CN"/>
              </w:rPr>
            </w:pPr>
            <w:r>
              <w:rPr>
                <w:rFonts w:hint="eastAsia" w:ascii="宋体" w:hAnsi="宋体" w:eastAsia="宋体" w:cs="宋体"/>
                <w:spacing w:val="18"/>
                <w:lang w:eastAsia="zh-CN"/>
              </w:rPr>
              <w:t>注：分级确定采取上一级别优先原则，只要有一项符</w:t>
            </w:r>
            <w:r>
              <w:rPr>
                <w:rFonts w:hint="eastAsia" w:ascii="宋体" w:hAnsi="宋体" w:eastAsia="宋体" w:cs="宋体"/>
                <w:spacing w:val="17"/>
                <w:lang w:eastAsia="zh-CN"/>
              </w:rPr>
              <w:t>合某一级别，就定为该级别。</w:t>
            </w:r>
          </w:p>
        </w:tc>
      </w:tr>
    </w:tbl>
    <w:p w14:paraId="102A9B25">
      <w:pPr>
        <w:widowControl w:val="0"/>
        <w:kinsoku/>
        <w:adjustRightInd/>
        <w:snapToGrid/>
        <w:spacing w:line="360" w:lineRule="auto"/>
        <w:ind w:firstLine="556" w:firstLineChars="200"/>
        <w:jc w:val="both"/>
        <w:rPr>
          <w:rFonts w:hint="eastAsia" w:ascii="宋体" w:hAnsi="宋体" w:eastAsia="宋体" w:cs="宋体"/>
          <w:sz w:val="28"/>
          <w:szCs w:val="28"/>
          <w:lang w:eastAsia="zh-CN"/>
        </w:rPr>
      </w:pPr>
      <w:r>
        <w:rPr>
          <w:rFonts w:ascii="宋体" w:hAnsi="宋体" w:eastAsia="宋体" w:cs="宋体"/>
          <w:spacing w:val="-1"/>
          <w:sz w:val="28"/>
          <w:szCs w:val="28"/>
          <w:lang w:eastAsia="zh-CN"/>
        </w:rPr>
        <w:t>根据《矿山地质环境保护与恢复治理方案编制规范》（DZ/T0223-2011）</w:t>
      </w:r>
      <w:r>
        <w:rPr>
          <w:rFonts w:ascii="宋体" w:hAnsi="宋体" w:eastAsia="宋体" w:cs="宋体"/>
          <w:spacing w:val="7"/>
          <w:sz w:val="28"/>
          <w:szCs w:val="28"/>
          <w:lang w:eastAsia="zh-CN"/>
        </w:rPr>
        <w:t>附录F（见表3-12）矿区生态环境破坏和影响分区表，对矿区生态环境破坏和影响进行分区。其中开采终了形成的</w:t>
      </w:r>
      <w:r>
        <w:rPr>
          <w:rFonts w:hint="eastAsia" w:ascii="宋体" w:hAnsi="宋体" w:eastAsia="宋体" w:cs="宋体"/>
          <w:sz w:val="28"/>
          <w:szCs w:val="28"/>
          <w:lang w:val="en-US" w:eastAsia="zh-CN"/>
        </w:rPr>
        <w:t>采矿场地为重要防治区</w:t>
      </w:r>
      <w:r>
        <w:rPr>
          <w:rFonts w:ascii="宋体" w:hAnsi="宋体" w:eastAsia="宋体" w:cs="宋体"/>
          <w:spacing w:val="7"/>
          <w:sz w:val="28"/>
          <w:szCs w:val="28"/>
          <w:lang w:eastAsia="zh-CN"/>
        </w:rPr>
        <w:t>（A）</w:t>
      </w:r>
      <w:r>
        <w:rPr>
          <w:rFonts w:hint="eastAsia" w:ascii="宋体" w:hAnsi="宋体" w:eastAsia="宋体" w:cs="宋体"/>
          <w:sz w:val="28"/>
          <w:szCs w:val="28"/>
          <w:lang w:eastAsia="zh-CN"/>
        </w:rPr>
        <w:t>，</w:t>
      </w:r>
      <w:r>
        <w:rPr>
          <w:rFonts w:ascii="宋体" w:hAnsi="宋体" w:eastAsia="宋体" w:cs="宋体"/>
          <w:spacing w:val="1"/>
          <w:sz w:val="28"/>
          <w:szCs w:val="28"/>
          <w:lang w:eastAsia="zh-CN"/>
        </w:rPr>
        <w:t>面积为</w:t>
      </w:r>
      <w:r>
        <w:rPr>
          <w:rFonts w:hint="eastAsia" w:ascii="宋体" w:hAnsi="宋体" w:eastAsia="宋体" w:cs="宋体"/>
          <w:color w:val="auto"/>
          <w:spacing w:val="1"/>
          <w:sz w:val="28"/>
          <w:szCs w:val="28"/>
          <w:lang w:val="en-US" w:eastAsia="zh-CN"/>
        </w:rPr>
        <w:t>100.00</w:t>
      </w:r>
      <w:r>
        <w:rPr>
          <w:rFonts w:ascii="宋体" w:hAnsi="宋体" w:eastAsia="宋体" w:cs="宋体"/>
          <w:sz w:val="28"/>
          <w:szCs w:val="28"/>
          <w:lang w:eastAsia="zh-CN"/>
        </w:rPr>
        <w:t>hm</w:t>
      </w:r>
      <w:r>
        <w:rPr>
          <w:rFonts w:ascii="宋体" w:hAnsi="宋体" w:eastAsia="宋体" w:cs="宋体"/>
          <w:spacing w:val="1"/>
          <w:position w:val="14"/>
          <w:sz w:val="13"/>
          <w:szCs w:val="13"/>
          <w:lang w:eastAsia="zh-CN"/>
        </w:rPr>
        <w:t>2</w:t>
      </w:r>
      <w:r>
        <w:rPr>
          <w:rFonts w:ascii="宋体" w:hAnsi="宋体" w:eastAsia="宋体" w:cs="宋体"/>
          <w:spacing w:val="1"/>
          <w:sz w:val="28"/>
          <w:szCs w:val="28"/>
          <w:lang w:eastAsia="zh-CN"/>
        </w:rPr>
        <w:t>，占总评估面积</w:t>
      </w:r>
      <w:r>
        <w:rPr>
          <w:rFonts w:hint="eastAsia" w:ascii="宋体" w:hAnsi="宋体" w:eastAsia="宋体" w:cs="宋体"/>
          <w:spacing w:val="8"/>
          <w:sz w:val="28"/>
          <w:szCs w:val="28"/>
          <w:lang w:val="en-US" w:eastAsia="zh-CN"/>
        </w:rPr>
        <w:t>65.86</w:t>
      </w:r>
      <w:r>
        <w:rPr>
          <w:rFonts w:ascii="宋体" w:hAnsi="宋体" w:eastAsia="宋体" w:cs="宋体"/>
          <w:spacing w:val="8"/>
          <w:sz w:val="28"/>
          <w:szCs w:val="28"/>
          <w:lang w:eastAsia="zh-CN"/>
        </w:rPr>
        <w:t>%</w:t>
      </w:r>
      <w:r>
        <w:rPr>
          <w:rFonts w:hint="eastAsia" w:ascii="宋体" w:hAnsi="宋体" w:eastAsia="宋体" w:cs="宋体"/>
          <w:spacing w:val="8"/>
          <w:sz w:val="28"/>
          <w:szCs w:val="28"/>
          <w:lang w:eastAsia="zh-CN"/>
        </w:rPr>
        <w:t>；</w:t>
      </w:r>
      <w:r>
        <w:rPr>
          <w:rFonts w:hint="eastAsia" w:ascii="宋体" w:hAnsi="宋体" w:eastAsia="宋体" w:cs="宋体"/>
          <w:sz w:val="28"/>
          <w:szCs w:val="28"/>
          <w:lang w:eastAsia="zh-CN"/>
        </w:rPr>
        <w:t>工业场地</w:t>
      </w:r>
      <w:r>
        <w:rPr>
          <w:rFonts w:hint="eastAsia" w:ascii="宋体" w:hAnsi="宋体" w:eastAsia="宋体" w:cs="宋体"/>
          <w:sz w:val="28"/>
          <w:szCs w:val="28"/>
          <w:lang w:val="en-US" w:eastAsia="zh-CN"/>
        </w:rPr>
        <w:t>为次重点防治区</w:t>
      </w:r>
      <w:r>
        <w:rPr>
          <w:rFonts w:ascii="宋体" w:hAnsi="宋体" w:eastAsia="宋体" w:cs="宋体"/>
          <w:spacing w:val="7"/>
          <w:sz w:val="28"/>
          <w:szCs w:val="28"/>
          <w:lang w:eastAsia="zh-CN"/>
        </w:rPr>
        <w:t>（</w:t>
      </w:r>
      <w:r>
        <w:rPr>
          <w:rFonts w:hint="eastAsia" w:ascii="宋体" w:hAnsi="宋体" w:eastAsia="宋体" w:cs="宋体"/>
          <w:spacing w:val="7"/>
          <w:sz w:val="28"/>
          <w:szCs w:val="28"/>
          <w:lang w:val="en-US" w:eastAsia="zh-CN"/>
        </w:rPr>
        <w:t>B</w:t>
      </w:r>
      <w:r>
        <w:rPr>
          <w:rFonts w:ascii="宋体" w:hAnsi="宋体" w:eastAsia="宋体" w:cs="宋体"/>
          <w:spacing w:val="7"/>
          <w:sz w:val="28"/>
          <w:szCs w:val="28"/>
          <w:lang w:eastAsia="zh-CN"/>
        </w:rPr>
        <w:t>）</w:t>
      </w:r>
      <w:r>
        <w:rPr>
          <w:rFonts w:hint="eastAsia" w:ascii="宋体" w:hAnsi="宋体" w:eastAsia="宋体" w:cs="宋体"/>
          <w:sz w:val="28"/>
          <w:szCs w:val="28"/>
          <w:lang w:eastAsia="zh-CN"/>
        </w:rPr>
        <w:t>，</w:t>
      </w:r>
      <w:r>
        <w:rPr>
          <w:rFonts w:ascii="宋体" w:hAnsi="宋体" w:eastAsia="宋体" w:cs="宋体"/>
          <w:spacing w:val="1"/>
          <w:sz w:val="28"/>
          <w:szCs w:val="28"/>
          <w:lang w:eastAsia="zh-CN"/>
        </w:rPr>
        <w:t>面积为</w:t>
      </w:r>
      <w:r>
        <w:rPr>
          <w:rFonts w:hint="eastAsia" w:ascii="宋体" w:hAnsi="宋体" w:eastAsia="宋体" w:cs="宋体"/>
          <w:spacing w:val="1"/>
          <w:sz w:val="28"/>
          <w:szCs w:val="28"/>
          <w:lang w:val="en-US" w:eastAsia="zh-CN"/>
        </w:rPr>
        <w:t>4.23</w:t>
      </w:r>
      <w:r>
        <w:rPr>
          <w:rFonts w:ascii="宋体" w:hAnsi="宋体" w:eastAsia="宋体" w:cs="宋体"/>
          <w:sz w:val="28"/>
          <w:szCs w:val="28"/>
          <w:lang w:eastAsia="zh-CN"/>
        </w:rPr>
        <w:t>hm</w:t>
      </w:r>
      <w:r>
        <w:rPr>
          <w:rFonts w:ascii="宋体" w:hAnsi="宋体" w:eastAsia="宋体" w:cs="宋体"/>
          <w:spacing w:val="1"/>
          <w:position w:val="14"/>
          <w:sz w:val="13"/>
          <w:szCs w:val="13"/>
          <w:lang w:eastAsia="zh-CN"/>
        </w:rPr>
        <w:t>2</w:t>
      </w:r>
      <w:r>
        <w:rPr>
          <w:rFonts w:ascii="宋体" w:hAnsi="宋体" w:eastAsia="宋体" w:cs="宋体"/>
          <w:spacing w:val="1"/>
          <w:sz w:val="28"/>
          <w:szCs w:val="28"/>
          <w:lang w:eastAsia="zh-CN"/>
        </w:rPr>
        <w:t>，占总评估面积</w:t>
      </w:r>
      <w:r>
        <w:rPr>
          <w:rFonts w:hint="eastAsia" w:ascii="宋体" w:hAnsi="宋体" w:eastAsia="宋体" w:cs="宋体"/>
          <w:spacing w:val="8"/>
          <w:sz w:val="28"/>
          <w:szCs w:val="28"/>
          <w:lang w:val="en-US" w:eastAsia="zh-CN"/>
        </w:rPr>
        <w:t>2.78</w:t>
      </w:r>
      <w:r>
        <w:rPr>
          <w:rFonts w:ascii="宋体" w:hAnsi="宋体" w:eastAsia="宋体" w:cs="宋体"/>
          <w:spacing w:val="8"/>
          <w:sz w:val="28"/>
          <w:szCs w:val="28"/>
          <w:lang w:eastAsia="zh-CN"/>
        </w:rPr>
        <w:t>%</w:t>
      </w:r>
      <w:r>
        <w:rPr>
          <w:rFonts w:hint="eastAsia" w:ascii="宋体" w:hAnsi="宋体" w:eastAsia="宋体" w:cs="宋体"/>
          <w:spacing w:val="8"/>
          <w:sz w:val="28"/>
          <w:szCs w:val="28"/>
          <w:lang w:eastAsia="zh-CN"/>
        </w:rPr>
        <w:t>；矿山道路及</w:t>
      </w:r>
      <w:r>
        <w:rPr>
          <w:rFonts w:hint="eastAsia" w:ascii="宋体" w:hAnsi="宋体" w:eastAsia="宋体" w:cs="宋体"/>
          <w:sz w:val="28"/>
          <w:szCs w:val="28"/>
          <w:lang w:val="en-US" w:eastAsia="zh-CN"/>
        </w:rPr>
        <w:t>外围区域为一般防治区</w:t>
      </w:r>
      <w:r>
        <w:rPr>
          <w:rFonts w:ascii="宋体" w:hAnsi="宋体" w:eastAsia="宋体" w:cs="宋体"/>
          <w:spacing w:val="7"/>
          <w:sz w:val="28"/>
          <w:szCs w:val="28"/>
          <w:lang w:eastAsia="zh-CN"/>
        </w:rPr>
        <w:t>（</w:t>
      </w:r>
      <w:r>
        <w:rPr>
          <w:rFonts w:hint="eastAsia" w:ascii="宋体" w:hAnsi="宋体" w:eastAsia="宋体" w:cs="宋体"/>
          <w:spacing w:val="7"/>
          <w:sz w:val="28"/>
          <w:szCs w:val="28"/>
          <w:lang w:val="en-US" w:eastAsia="zh-CN"/>
        </w:rPr>
        <w:t>C</w:t>
      </w:r>
      <w:r>
        <w:rPr>
          <w:rFonts w:ascii="宋体" w:hAnsi="宋体" w:eastAsia="宋体" w:cs="宋体"/>
          <w:spacing w:val="7"/>
          <w:sz w:val="28"/>
          <w:szCs w:val="28"/>
          <w:lang w:eastAsia="zh-CN"/>
        </w:rPr>
        <w:t>）</w:t>
      </w:r>
      <w:r>
        <w:rPr>
          <w:rFonts w:ascii="宋体" w:hAnsi="宋体" w:eastAsia="宋体" w:cs="宋体"/>
          <w:spacing w:val="1"/>
          <w:sz w:val="28"/>
          <w:szCs w:val="28"/>
          <w:lang w:eastAsia="zh-CN"/>
        </w:rPr>
        <w:t>，面积为</w:t>
      </w:r>
      <w:r>
        <w:rPr>
          <w:rFonts w:hint="eastAsia" w:ascii="宋体" w:hAnsi="宋体" w:eastAsia="宋体" w:cs="宋体"/>
          <w:spacing w:val="1"/>
          <w:sz w:val="28"/>
          <w:szCs w:val="28"/>
          <w:lang w:val="en-US" w:eastAsia="zh-CN"/>
        </w:rPr>
        <w:t>47.61</w:t>
      </w:r>
      <w:r>
        <w:rPr>
          <w:rFonts w:ascii="宋体" w:hAnsi="宋体" w:eastAsia="宋体" w:cs="宋体"/>
          <w:sz w:val="28"/>
          <w:szCs w:val="28"/>
          <w:lang w:eastAsia="zh-CN"/>
        </w:rPr>
        <w:t>hm</w:t>
      </w:r>
      <w:r>
        <w:rPr>
          <w:rFonts w:ascii="宋体" w:hAnsi="宋体" w:eastAsia="宋体" w:cs="宋体"/>
          <w:spacing w:val="1"/>
          <w:position w:val="14"/>
          <w:sz w:val="13"/>
          <w:szCs w:val="13"/>
          <w:lang w:eastAsia="zh-CN"/>
        </w:rPr>
        <w:t>2</w:t>
      </w:r>
      <w:r>
        <w:rPr>
          <w:rFonts w:ascii="宋体" w:hAnsi="宋体" w:eastAsia="宋体" w:cs="宋体"/>
          <w:spacing w:val="1"/>
          <w:sz w:val="28"/>
          <w:szCs w:val="28"/>
          <w:lang w:eastAsia="zh-CN"/>
        </w:rPr>
        <w:t>，占总评估面积</w:t>
      </w:r>
      <w:r>
        <w:rPr>
          <w:rFonts w:hint="eastAsia" w:ascii="宋体" w:hAnsi="宋体" w:eastAsia="宋体" w:cs="宋体"/>
          <w:spacing w:val="8"/>
          <w:sz w:val="28"/>
          <w:szCs w:val="28"/>
          <w:lang w:val="en-US" w:eastAsia="zh-CN"/>
        </w:rPr>
        <w:t>31.36</w:t>
      </w:r>
      <w:r>
        <w:rPr>
          <w:rFonts w:ascii="宋体" w:hAnsi="宋体" w:eastAsia="宋体" w:cs="宋体"/>
          <w:spacing w:val="8"/>
          <w:sz w:val="28"/>
          <w:szCs w:val="28"/>
          <w:lang w:eastAsia="zh-CN"/>
        </w:rPr>
        <w:t>%</w:t>
      </w:r>
      <w:r>
        <w:rPr>
          <w:rFonts w:hint="eastAsia" w:ascii="宋体" w:hAnsi="宋体" w:eastAsia="宋体" w:cs="宋体"/>
          <w:spacing w:val="8"/>
          <w:sz w:val="28"/>
          <w:szCs w:val="28"/>
          <w:lang w:eastAsia="zh-CN"/>
        </w:rPr>
        <w:t>。</w:t>
      </w:r>
    </w:p>
    <w:p w14:paraId="4D8E8AEB">
      <w:pPr>
        <w:widowControl w:val="0"/>
        <w:kinsoku/>
        <w:adjustRightInd/>
        <w:snapToGrid/>
        <w:jc w:val="center"/>
        <w:rPr>
          <w:rFonts w:hint="eastAsia" w:ascii="宋体" w:hAnsi="宋体" w:eastAsia="宋体" w:cs="宋体"/>
          <w:b/>
          <w:bCs/>
          <w:spacing w:val="-2"/>
          <w:lang w:eastAsia="zh-CN"/>
        </w:rPr>
      </w:pPr>
      <w:r>
        <w:rPr>
          <w:rFonts w:ascii="宋体" w:hAnsi="宋体" w:eastAsia="宋体" w:cs="宋体"/>
          <w:b/>
          <w:bCs/>
          <w:spacing w:val="-2"/>
          <w:lang w:eastAsia="zh-CN"/>
        </w:rPr>
        <w:t>表3-12</w:t>
      </w:r>
      <w:r>
        <w:rPr>
          <w:rFonts w:hint="eastAsia" w:ascii="宋体" w:hAnsi="宋体" w:eastAsia="宋体" w:cs="宋体"/>
          <w:b/>
          <w:bCs/>
          <w:spacing w:val="-2"/>
          <w:lang w:eastAsia="zh-CN"/>
        </w:rPr>
        <w:t xml:space="preserve">  </w:t>
      </w:r>
      <w:r>
        <w:rPr>
          <w:rFonts w:ascii="宋体" w:hAnsi="宋体" w:eastAsia="宋体" w:cs="宋体"/>
          <w:b/>
          <w:bCs/>
          <w:spacing w:val="-2"/>
          <w:lang w:eastAsia="zh-CN"/>
        </w:rPr>
        <w:t>矿区生态环境破坏和影响分区表</w:t>
      </w:r>
    </w:p>
    <w:tbl>
      <w:tblPr>
        <w:tblStyle w:val="22"/>
        <w:tblW w:w="8314" w:type="dxa"/>
        <w:tblInd w:w="32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77"/>
        <w:gridCol w:w="2170"/>
        <w:gridCol w:w="2172"/>
        <w:gridCol w:w="1795"/>
      </w:tblGrid>
      <w:tr w14:paraId="7E90F1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2177" w:type="dxa"/>
            <w:vMerge w:val="restart"/>
            <w:tcBorders>
              <w:bottom w:val="nil"/>
            </w:tcBorders>
            <w:vAlign w:val="center"/>
          </w:tcPr>
          <w:p w14:paraId="70744737">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分区</w:t>
            </w:r>
          </w:p>
        </w:tc>
        <w:tc>
          <w:tcPr>
            <w:tcW w:w="4342" w:type="dxa"/>
            <w:gridSpan w:val="2"/>
            <w:vAlign w:val="center"/>
          </w:tcPr>
          <w:p w14:paraId="37DCEDC3">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矿区生态环境破坏和影响程度</w:t>
            </w:r>
          </w:p>
        </w:tc>
        <w:tc>
          <w:tcPr>
            <w:tcW w:w="1795" w:type="dxa"/>
            <w:vMerge w:val="restart"/>
            <w:tcBorders>
              <w:bottom w:val="nil"/>
            </w:tcBorders>
            <w:vAlign w:val="center"/>
          </w:tcPr>
          <w:p w14:paraId="319A1128">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防治类别</w:t>
            </w:r>
          </w:p>
        </w:tc>
      </w:tr>
      <w:tr w14:paraId="715F45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2177" w:type="dxa"/>
            <w:vMerge w:val="continue"/>
            <w:tcBorders>
              <w:top w:val="nil"/>
            </w:tcBorders>
            <w:vAlign w:val="center"/>
          </w:tcPr>
          <w:p w14:paraId="1993E133">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p>
        </w:tc>
        <w:tc>
          <w:tcPr>
            <w:tcW w:w="2170" w:type="dxa"/>
            <w:vAlign w:val="center"/>
          </w:tcPr>
          <w:p w14:paraId="59331E4B">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现状评估</w:t>
            </w:r>
          </w:p>
        </w:tc>
        <w:tc>
          <w:tcPr>
            <w:tcW w:w="2172" w:type="dxa"/>
            <w:vAlign w:val="center"/>
          </w:tcPr>
          <w:p w14:paraId="191E0900">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预测评估</w:t>
            </w:r>
          </w:p>
        </w:tc>
        <w:tc>
          <w:tcPr>
            <w:tcW w:w="1795" w:type="dxa"/>
            <w:vMerge w:val="continue"/>
            <w:tcBorders>
              <w:top w:val="nil"/>
            </w:tcBorders>
            <w:vAlign w:val="center"/>
          </w:tcPr>
          <w:p w14:paraId="304C121A">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p>
        </w:tc>
      </w:tr>
      <w:tr w14:paraId="4BCEDB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2177" w:type="dxa"/>
            <w:vAlign w:val="center"/>
          </w:tcPr>
          <w:p w14:paraId="6F042D44">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采矿场地</w:t>
            </w:r>
          </w:p>
        </w:tc>
        <w:tc>
          <w:tcPr>
            <w:tcW w:w="2170" w:type="dxa"/>
            <w:vAlign w:val="center"/>
          </w:tcPr>
          <w:p w14:paraId="0E498B68">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严重</w:t>
            </w:r>
          </w:p>
        </w:tc>
        <w:tc>
          <w:tcPr>
            <w:tcW w:w="2172" w:type="dxa"/>
            <w:vAlign w:val="center"/>
          </w:tcPr>
          <w:p w14:paraId="3675D871">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严重</w:t>
            </w:r>
          </w:p>
        </w:tc>
        <w:tc>
          <w:tcPr>
            <w:tcW w:w="1795" w:type="dxa"/>
            <w:vAlign w:val="center"/>
          </w:tcPr>
          <w:p w14:paraId="61FD41B6">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重点防治区</w:t>
            </w:r>
          </w:p>
        </w:tc>
      </w:tr>
      <w:tr w14:paraId="32A59F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2177" w:type="dxa"/>
            <w:vAlign w:val="center"/>
          </w:tcPr>
          <w:p w14:paraId="59B760AF">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工业场地</w:t>
            </w:r>
          </w:p>
        </w:tc>
        <w:tc>
          <w:tcPr>
            <w:tcW w:w="2170" w:type="dxa"/>
            <w:vAlign w:val="center"/>
          </w:tcPr>
          <w:p w14:paraId="6B051248">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较严重</w:t>
            </w:r>
          </w:p>
        </w:tc>
        <w:tc>
          <w:tcPr>
            <w:tcW w:w="2172" w:type="dxa"/>
            <w:vAlign w:val="center"/>
          </w:tcPr>
          <w:p w14:paraId="3C9B45E6">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较严重</w:t>
            </w:r>
          </w:p>
        </w:tc>
        <w:tc>
          <w:tcPr>
            <w:tcW w:w="1795" w:type="dxa"/>
            <w:vAlign w:val="center"/>
          </w:tcPr>
          <w:p w14:paraId="2BD55834">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次重点防治区</w:t>
            </w:r>
          </w:p>
        </w:tc>
      </w:tr>
      <w:tr w14:paraId="564BAA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2177" w:type="dxa"/>
            <w:vAlign w:val="center"/>
          </w:tcPr>
          <w:p w14:paraId="334C56E6">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矿山道路及外围区域</w:t>
            </w:r>
          </w:p>
        </w:tc>
        <w:tc>
          <w:tcPr>
            <w:tcW w:w="2170" w:type="dxa"/>
            <w:vAlign w:val="center"/>
          </w:tcPr>
          <w:p w14:paraId="31F4C787">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较轻</w:t>
            </w:r>
          </w:p>
        </w:tc>
        <w:tc>
          <w:tcPr>
            <w:tcW w:w="2172" w:type="dxa"/>
            <w:vAlign w:val="center"/>
          </w:tcPr>
          <w:p w14:paraId="2E72245F">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较轻</w:t>
            </w:r>
          </w:p>
        </w:tc>
        <w:tc>
          <w:tcPr>
            <w:tcW w:w="1795" w:type="dxa"/>
            <w:vAlign w:val="center"/>
          </w:tcPr>
          <w:p w14:paraId="35F29DF6">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t>一般防治区</w:t>
            </w:r>
          </w:p>
        </w:tc>
      </w:tr>
    </w:tbl>
    <w:p w14:paraId="16F61E0C">
      <w:pPr>
        <w:pStyle w:val="6"/>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bookmarkStart w:id="119" w:name="bookmark106"/>
      <w:bookmarkEnd w:id="119"/>
      <w:bookmarkStart w:id="120" w:name="bookmark105"/>
      <w:bookmarkEnd w:id="120"/>
      <w:bookmarkStart w:id="121" w:name="_Toc24413"/>
      <w:r>
        <w:rPr>
          <w:rFonts w:hint="eastAsia" w:ascii="宋体" w:hAnsi="宋体" w:eastAsia="宋体" w:cs="宋体"/>
          <w:spacing w:val="-1"/>
          <w:sz w:val="28"/>
          <w:szCs w:val="28"/>
          <w:lang w:eastAsia="zh-CN"/>
        </w:rPr>
        <w:t>2、生态修复区与修复责任范围</w:t>
      </w:r>
      <w:bookmarkEnd w:id="121"/>
    </w:p>
    <w:p w14:paraId="7AEB73FE">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r>
        <w:rPr>
          <w:rFonts w:hint="eastAsia" w:ascii="宋体" w:hAnsi="宋体" w:eastAsia="宋体" w:cs="宋体"/>
          <w:spacing w:val="8"/>
          <w:sz w:val="28"/>
          <w:szCs w:val="28"/>
          <w:lang w:eastAsia="zh-CN"/>
        </w:rPr>
        <w:t>⑴生态修复区</w:t>
      </w:r>
    </w:p>
    <w:p w14:paraId="35CDDBF9">
      <w:pPr>
        <w:widowControl w:val="0"/>
        <w:kinsoku/>
        <w:adjustRightInd/>
        <w:snapToGrid/>
        <w:spacing w:line="360" w:lineRule="auto"/>
        <w:ind w:firstLine="592" w:firstLineChars="200"/>
        <w:jc w:val="both"/>
        <w:rPr>
          <w:rFonts w:hint="eastAsia" w:ascii="宋体" w:hAnsi="宋体" w:eastAsia="宋体" w:cs="宋体"/>
          <w:color w:val="auto"/>
          <w:spacing w:val="8"/>
          <w:sz w:val="28"/>
          <w:szCs w:val="28"/>
          <w:lang w:eastAsia="zh-CN"/>
        </w:rPr>
      </w:pPr>
      <w:r>
        <w:rPr>
          <w:rFonts w:hint="eastAsia" w:ascii="宋体" w:hAnsi="宋体" w:eastAsia="宋体" w:cs="宋体"/>
          <w:spacing w:val="8"/>
          <w:sz w:val="28"/>
          <w:szCs w:val="28"/>
          <w:lang w:eastAsia="zh-CN"/>
        </w:rPr>
        <w:t>根据《土地复垦方案编制规程-通则》，修复区是指生产建设项目损毁土地和永久性建设用地构成的区域。项目损毁土地为已损毁和拟损毁土地的总和，永久性建设用地包含在损毁土地范围内。根据以上对已损毁土地分析及拟损毁土地预测，本项目修复区面积为</w:t>
      </w:r>
      <w:r>
        <w:rPr>
          <w:rFonts w:hint="eastAsia" w:ascii="宋体" w:hAnsi="宋体" w:eastAsia="宋体" w:cs="宋体"/>
          <w:color w:val="auto"/>
          <w:spacing w:val="8"/>
          <w:sz w:val="28"/>
          <w:szCs w:val="28"/>
          <w:lang w:val="en-US" w:eastAsia="zh-CN"/>
        </w:rPr>
        <w:t>104.47</w:t>
      </w:r>
      <w:r>
        <w:rPr>
          <w:rFonts w:hint="eastAsia" w:ascii="宋体" w:hAnsi="宋体" w:eastAsia="宋体" w:cs="宋体"/>
          <w:color w:val="auto"/>
          <w:spacing w:val="8"/>
          <w:sz w:val="28"/>
          <w:szCs w:val="28"/>
          <w:lang w:eastAsia="zh-CN"/>
        </w:rPr>
        <w:t>hm</w:t>
      </w:r>
      <w:r>
        <w:rPr>
          <w:rFonts w:hint="eastAsia" w:ascii="宋体" w:hAnsi="宋体" w:eastAsia="宋体" w:cs="宋体"/>
          <w:color w:val="auto"/>
          <w:spacing w:val="8"/>
          <w:sz w:val="28"/>
          <w:szCs w:val="28"/>
          <w:vertAlign w:val="superscript"/>
          <w:lang w:eastAsia="zh-CN"/>
        </w:rPr>
        <w:t>2</w:t>
      </w:r>
      <w:r>
        <w:rPr>
          <w:rFonts w:hint="eastAsia" w:ascii="宋体" w:hAnsi="宋体" w:eastAsia="宋体" w:cs="宋体"/>
          <w:color w:val="auto"/>
          <w:spacing w:val="8"/>
          <w:sz w:val="28"/>
          <w:szCs w:val="28"/>
          <w:lang w:eastAsia="zh-CN"/>
        </w:rPr>
        <w:t>，其中已损毁土地总面积为49.09hm</w:t>
      </w:r>
      <w:r>
        <w:rPr>
          <w:rFonts w:hint="eastAsia" w:ascii="宋体" w:hAnsi="宋体" w:eastAsia="宋体" w:cs="宋体"/>
          <w:color w:val="auto"/>
          <w:spacing w:val="8"/>
          <w:sz w:val="28"/>
          <w:szCs w:val="28"/>
          <w:vertAlign w:val="superscript"/>
          <w:lang w:eastAsia="zh-CN"/>
        </w:rPr>
        <w:t>2</w:t>
      </w:r>
      <w:r>
        <w:rPr>
          <w:rFonts w:hint="eastAsia" w:ascii="宋体" w:hAnsi="宋体" w:eastAsia="宋体" w:cs="宋体"/>
          <w:color w:val="auto"/>
          <w:spacing w:val="8"/>
          <w:sz w:val="28"/>
          <w:szCs w:val="28"/>
          <w:lang w:eastAsia="zh-CN"/>
        </w:rPr>
        <w:t>，拟损毁土地总面积</w:t>
      </w:r>
      <w:r>
        <w:rPr>
          <w:rFonts w:hint="eastAsia" w:ascii="宋体" w:hAnsi="宋体" w:eastAsia="宋体" w:cs="宋体"/>
          <w:color w:val="auto"/>
          <w:spacing w:val="8"/>
          <w:sz w:val="28"/>
          <w:szCs w:val="28"/>
          <w:lang w:val="en-US" w:eastAsia="zh-CN"/>
        </w:rPr>
        <w:t>55.38</w:t>
      </w:r>
      <w:r>
        <w:rPr>
          <w:rFonts w:hint="eastAsia" w:ascii="宋体" w:hAnsi="宋体" w:eastAsia="宋体" w:cs="宋体"/>
          <w:color w:val="auto"/>
          <w:spacing w:val="8"/>
          <w:sz w:val="28"/>
          <w:szCs w:val="28"/>
          <w:lang w:eastAsia="zh-CN"/>
        </w:rPr>
        <w:t>hm</w:t>
      </w:r>
      <w:r>
        <w:rPr>
          <w:rFonts w:hint="eastAsia" w:ascii="宋体" w:hAnsi="宋体" w:eastAsia="宋体" w:cs="宋体"/>
          <w:color w:val="auto"/>
          <w:spacing w:val="8"/>
          <w:sz w:val="28"/>
          <w:szCs w:val="28"/>
          <w:vertAlign w:val="superscript"/>
          <w:lang w:eastAsia="zh-CN"/>
        </w:rPr>
        <w:t>2</w:t>
      </w:r>
      <w:r>
        <w:rPr>
          <w:rFonts w:hint="eastAsia" w:ascii="宋体" w:hAnsi="宋体" w:eastAsia="宋体" w:cs="宋体"/>
          <w:color w:val="auto"/>
          <w:spacing w:val="8"/>
          <w:sz w:val="28"/>
          <w:szCs w:val="28"/>
          <w:lang w:eastAsia="zh-CN"/>
        </w:rPr>
        <w:t>。</w:t>
      </w:r>
    </w:p>
    <w:p w14:paraId="357CAD4F">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r>
        <w:rPr>
          <w:rFonts w:hint="eastAsia" w:ascii="宋体" w:hAnsi="宋体" w:eastAsia="宋体" w:cs="宋体"/>
          <w:spacing w:val="8"/>
          <w:sz w:val="28"/>
          <w:szCs w:val="28"/>
          <w:lang w:eastAsia="zh-CN"/>
        </w:rPr>
        <w:t>⑵生态修复责任范围</w:t>
      </w:r>
    </w:p>
    <w:p w14:paraId="0B117EFA">
      <w:pPr>
        <w:widowControl w:val="0"/>
        <w:kinsoku/>
        <w:adjustRightInd/>
        <w:snapToGrid/>
        <w:spacing w:line="360" w:lineRule="auto"/>
        <w:ind w:firstLine="592" w:firstLineChars="200"/>
        <w:jc w:val="both"/>
        <w:rPr>
          <w:rFonts w:hint="eastAsia" w:ascii="宋体" w:hAnsi="宋体" w:eastAsia="宋体" w:cs="宋体"/>
          <w:color w:val="auto"/>
          <w:spacing w:val="8"/>
          <w:sz w:val="28"/>
          <w:szCs w:val="28"/>
          <w:lang w:eastAsia="zh-CN"/>
        </w:rPr>
      </w:pPr>
      <w:r>
        <w:rPr>
          <w:rFonts w:hint="eastAsia" w:ascii="宋体" w:hAnsi="宋体" w:eastAsia="宋体" w:cs="宋体"/>
          <w:spacing w:val="8"/>
          <w:sz w:val="28"/>
          <w:szCs w:val="28"/>
          <w:lang w:eastAsia="zh-CN"/>
        </w:rPr>
        <w:t>生态修复责任范围是指修复区中损毁土地及不再留续使用的永久性建设用地构成的区域。本项目为持有采矿权矿山，采矿权人应对地质环境造成的破坏需承担的一切责任与费用，履行矿区地质环境恢复治理与生态修复的义务。生态修复责任范围是指修复区中损毁土地及不再留续使用的永久性建设用地构成的区域。本项目修复责任范围的土地面积</w:t>
      </w:r>
      <w:r>
        <w:rPr>
          <w:rFonts w:hint="eastAsia" w:ascii="宋体" w:hAnsi="宋体" w:eastAsia="宋体" w:cs="宋体"/>
          <w:color w:val="auto"/>
          <w:spacing w:val="8"/>
          <w:sz w:val="28"/>
          <w:szCs w:val="28"/>
          <w:lang w:val="en-US" w:eastAsia="zh-CN"/>
        </w:rPr>
        <w:t>104.47</w:t>
      </w:r>
      <w:r>
        <w:rPr>
          <w:rFonts w:hint="eastAsia" w:ascii="宋体" w:hAnsi="宋体" w:eastAsia="宋体" w:cs="宋体"/>
          <w:color w:val="auto"/>
          <w:spacing w:val="8"/>
          <w:sz w:val="28"/>
          <w:szCs w:val="28"/>
          <w:lang w:eastAsia="zh-CN"/>
        </w:rPr>
        <w:t>hm</w:t>
      </w:r>
      <w:r>
        <w:rPr>
          <w:rFonts w:hint="eastAsia" w:ascii="宋体" w:hAnsi="宋体" w:eastAsia="宋体" w:cs="宋体"/>
          <w:color w:val="auto"/>
          <w:spacing w:val="8"/>
          <w:sz w:val="28"/>
          <w:szCs w:val="28"/>
          <w:vertAlign w:val="superscript"/>
          <w:lang w:eastAsia="zh-CN"/>
        </w:rPr>
        <w:t>2</w:t>
      </w:r>
      <w:r>
        <w:rPr>
          <w:rFonts w:hint="eastAsia" w:ascii="宋体" w:hAnsi="宋体" w:eastAsia="宋体" w:cs="宋体"/>
          <w:color w:val="auto"/>
          <w:spacing w:val="8"/>
          <w:sz w:val="28"/>
          <w:szCs w:val="28"/>
          <w:lang w:eastAsia="zh-CN"/>
        </w:rPr>
        <w:t>，实际可修复面积为</w:t>
      </w:r>
      <w:r>
        <w:rPr>
          <w:rFonts w:hint="eastAsia" w:ascii="宋体" w:hAnsi="宋体" w:eastAsia="宋体" w:cs="宋体"/>
          <w:color w:val="auto"/>
          <w:spacing w:val="8"/>
          <w:sz w:val="28"/>
          <w:szCs w:val="28"/>
          <w:lang w:val="en-US" w:eastAsia="zh-CN"/>
        </w:rPr>
        <w:t>104.47</w:t>
      </w:r>
      <w:r>
        <w:rPr>
          <w:rFonts w:hint="eastAsia" w:ascii="宋体" w:hAnsi="宋体" w:eastAsia="宋体" w:cs="宋体"/>
          <w:color w:val="auto"/>
          <w:spacing w:val="8"/>
          <w:sz w:val="28"/>
          <w:szCs w:val="28"/>
          <w:lang w:eastAsia="zh-CN"/>
        </w:rPr>
        <w:t>hm</w:t>
      </w:r>
      <w:r>
        <w:rPr>
          <w:rFonts w:hint="eastAsia" w:ascii="宋体" w:hAnsi="宋体" w:eastAsia="宋体" w:cs="宋体"/>
          <w:color w:val="auto"/>
          <w:spacing w:val="8"/>
          <w:sz w:val="28"/>
          <w:szCs w:val="28"/>
          <w:vertAlign w:val="superscript"/>
          <w:lang w:eastAsia="zh-CN"/>
        </w:rPr>
        <w:t>2</w:t>
      </w:r>
      <w:r>
        <w:rPr>
          <w:rFonts w:hint="eastAsia" w:ascii="宋体" w:hAnsi="宋体" w:eastAsia="宋体" w:cs="宋体"/>
          <w:color w:val="auto"/>
          <w:spacing w:val="8"/>
          <w:sz w:val="28"/>
          <w:szCs w:val="28"/>
          <w:lang w:eastAsia="zh-CN"/>
        </w:rPr>
        <w:t>，所以最终确定修复率为100%。</w:t>
      </w:r>
    </w:p>
    <w:p w14:paraId="3940F70A">
      <w:pPr>
        <w:pStyle w:val="6"/>
        <w:widowControl w:val="0"/>
        <w:kinsoku/>
        <w:adjustRightInd/>
        <w:snapToGrid/>
        <w:spacing w:line="360" w:lineRule="auto"/>
        <w:ind w:firstLine="556" w:firstLineChars="200"/>
        <w:jc w:val="both"/>
        <w:rPr>
          <w:rFonts w:hint="eastAsia" w:ascii="宋体" w:hAnsi="宋体" w:eastAsia="宋体" w:cs="宋体"/>
          <w:spacing w:val="-1"/>
          <w:sz w:val="28"/>
          <w:szCs w:val="28"/>
          <w:lang w:eastAsia="zh-CN"/>
        </w:rPr>
      </w:pPr>
      <w:bookmarkStart w:id="122" w:name="bookmark108"/>
      <w:bookmarkEnd w:id="122"/>
      <w:bookmarkStart w:id="123" w:name="bookmark107"/>
      <w:bookmarkEnd w:id="123"/>
      <w:r>
        <w:rPr>
          <w:rFonts w:hint="eastAsia" w:ascii="宋体" w:hAnsi="宋体" w:eastAsia="宋体" w:cs="宋体"/>
          <w:spacing w:val="-1"/>
          <w:sz w:val="28"/>
          <w:szCs w:val="28"/>
          <w:lang w:eastAsia="zh-CN"/>
        </w:rPr>
        <w:t>⑶土地类型与权属</w:t>
      </w:r>
    </w:p>
    <w:p w14:paraId="0C5219A5">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r>
        <w:rPr>
          <w:rFonts w:hint="eastAsia" w:ascii="宋体" w:hAnsi="宋体" w:eastAsia="宋体" w:cs="宋体"/>
          <w:spacing w:val="8"/>
          <w:sz w:val="28"/>
          <w:szCs w:val="28"/>
          <w:lang w:eastAsia="zh-CN"/>
        </w:rPr>
        <w:t>①土地类型</w:t>
      </w:r>
    </w:p>
    <w:p w14:paraId="44AE8EB5">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r>
        <w:rPr>
          <w:rFonts w:hint="eastAsia" w:ascii="宋体" w:hAnsi="宋体" w:eastAsia="宋体" w:cs="宋体"/>
          <w:spacing w:val="8"/>
          <w:sz w:val="28"/>
          <w:szCs w:val="28"/>
          <w:lang w:eastAsia="zh-CN"/>
        </w:rPr>
        <w:t>根据《土地利用现状分类标准》（GB/T21010-2007)及格尔木市自然资源局提供的格尔木市2024年度土地利用变更数据库，结合项目区测绘资料，矿区损毁土地面</w:t>
      </w:r>
      <w:r>
        <w:rPr>
          <w:rFonts w:hint="eastAsia" w:ascii="宋体" w:hAnsi="宋体" w:eastAsia="宋体" w:cs="宋体"/>
          <w:color w:val="auto"/>
          <w:spacing w:val="8"/>
          <w:sz w:val="28"/>
          <w:szCs w:val="28"/>
          <w:lang w:eastAsia="zh-CN"/>
        </w:rPr>
        <w:t>积为</w:t>
      </w:r>
      <w:r>
        <w:rPr>
          <w:rFonts w:hint="eastAsia" w:ascii="宋体" w:hAnsi="宋体" w:eastAsia="宋体" w:cs="宋体"/>
          <w:color w:val="auto"/>
          <w:spacing w:val="8"/>
          <w:sz w:val="28"/>
          <w:szCs w:val="28"/>
          <w:lang w:val="en-US" w:eastAsia="zh-CN"/>
        </w:rPr>
        <w:t>104.47</w:t>
      </w:r>
      <w:r>
        <w:rPr>
          <w:rFonts w:hint="eastAsia" w:ascii="宋体" w:hAnsi="宋体" w:eastAsia="宋体" w:cs="宋体"/>
          <w:color w:val="auto"/>
          <w:spacing w:val="8"/>
          <w:sz w:val="28"/>
          <w:szCs w:val="28"/>
          <w:lang w:eastAsia="zh-CN"/>
        </w:rPr>
        <w:t>h</w:t>
      </w:r>
      <w:r>
        <w:rPr>
          <w:rFonts w:hint="eastAsia" w:ascii="宋体" w:hAnsi="宋体" w:eastAsia="宋体" w:cs="宋体"/>
          <w:spacing w:val="8"/>
          <w:sz w:val="28"/>
          <w:szCs w:val="28"/>
          <w:lang w:eastAsia="zh-CN"/>
        </w:rPr>
        <w:t>m</w:t>
      </w:r>
      <w:r>
        <w:rPr>
          <w:rFonts w:hint="eastAsia" w:ascii="宋体" w:hAnsi="宋体" w:eastAsia="宋体" w:cs="宋体"/>
          <w:spacing w:val="8"/>
          <w:sz w:val="28"/>
          <w:szCs w:val="28"/>
          <w:vertAlign w:val="superscript"/>
          <w:lang w:eastAsia="zh-CN"/>
        </w:rPr>
        <w:t>2</w:t>
      </w:r>
      <w:r>
        <w:rPr>
          <w:rFonts w:hint="eastAsia" w:ascii="宋体" w:hAnsi="宋体" w:eastAsia="宋体" w:cs="宋体"/>
          <w:spacing w:val="8"/>
          <w:sz w:val="28"/>
          <w:szCs w:val="28"/>
          <w:lang w:eastAsia="zh-CN"/>
        </w:rPr>
        <w:t>，损毁土地类型为采矿用地、农村道路及沙地。</w:t>
      </w:r>
    </w:p>
    <w:p w14:paraId="77A57F55">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r>
        <w:rPr>
          <w:rFonts w:hint="eastAsia" w:ascii="宋体" w:hAnsi="宋体" w:eastAsia="宋体" w:cs="宋体"/>
          <w:spacing w:val="8"/>
          <w:sz w:val="28"/>
          <w:szCs w:val="28"/>
          <w:lang w:eastAsia="zh-CN"/>
        </w:rPr>
        <w:t>②土地权属</w:t>
      </w:r>
    </w:p>
    <w:p w14:paraId="2312C7F5">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r>
        <w:rPr>
          <w:rFonts w:hint="eastAsia" w:ascii="宋体" w:hAnsi="宋体" w:eastAsia="宋体" w:cs="宋体"/>
          <w:spacing w:val="8"/>
          <w:sz w:val="28"/>
          <w:szCs w:val="28"/>
          <w:lang w:eastAsia="zh-CN"/>
        </w:rPr>
        <w:t>依据青海省格尔木市茶格高速南建筑用砂2#矿土地利用现状图，结合实地调查结果，修复区土地权属为国有土地，整个矿区土地权属清楚，无土地权属纠纷，现使用权归格尔木昆鹏能源开发建设有限公司，矿权界线清楚，目前没有争议。</w:t>
      </w:r>
      <w:bookmarkStart w:id="124" w:name="bookmark109"/>
      <w:bookmarkEnd w:id="124"/>
      <w:bookmarkStart w:id="125" w:name="bookmark113"/>
      <w:bookmarkEnd w:id="125"/>
      <w:bookmarkStart w:id="126" w:name="bookmark110"/>
      <w:bookmarkEnd w:id="126"/>
      <w:bookmarkStart w:id="127" w:name="bookmark114"/>
      <w:bookmarkEnd w:id="127"/>
      <w:bookmarkStart w:id="128" w:name="bookmark112"/>
      <w:bookmarkEnd w:id="128"/>
      <w:bookmarkStart w:id="129" w:name="bookmark111"/>
      <w:bookmarkEnd w:id="129"/>
    </w:p>
    <w:p w14:paraId="228DC105">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130" w:name="_Toc32343"/>
      <w:r>
        <w:rPr>
          <w:rFonts w:hint="eastAsia" w:ascii="宋体" w:hAnsi="宋体" w:eastAsia="宋体" w:cs="宋体"/>
          <w:sz w:val="30"/>
          <w:szCs w:val="30"/>
          <w:lang w:eastAsia="zh-CN"/>
        </w:rPr>
        <w:t>二、生态修复可行性分析</w:t>
      </w:r>
      <w:bookmarkEnd w:id="130"/>
    </w:p>
    <w:p w14:paraId="3332AD71">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131" w:name="bookmark265"/>
      <w:bookmarkEnd w:id="131"/>
      <w:bookmarkStart w:id="132" w:name="bookmark264"/>
      <w:bookmarkEnd w:id="132"/>
      <w:bookmarkStart w:id="133" w:name="_Toc30749"/>
      <w:bookmarkStart w:id="134" w:name="_Toc18415"/>
      <w:r>
        <w:rPr>
          <w:rFonts w:hint="eastAsia" w:ascii="宋体" w:hAnsi="宋体" w:eastAsia="宋体" w:cs="宋体"/>
          <w:sz w:val="28"/>
          <w:szCs w:val="28"/>
          <w:lang w:eastAsia="zh-CN"/>
        </w:rPr>
        <w:t>（一）技术经济可行性分析</w:t>
      </w:r>
      <w:bookmarkEnd w:id="133"/>
      <w:bookmarkEnd w:id="134"/>
    </w:p>
    <w:p w14:paraId="3A348C9C">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r>
        <w:rPr>
          <w:rFonts w:hint="eastAsia" w:ascii="宋体" w:hAnsi="宋体" w:eastAsia="宋体" w:cs="宋体"/>
          <w:spacing w:val="8"/>
          <w:sz w:val="28"/>
          <w:szCs w:val="28"/>
          <w:lang w:eastAsia="zh-CN"/>
        </w:rPr>
        <w:t>1、技术可行性分析</w:t>
      </w:r>
    </w:p>
    <w:p w14:paraId="0D031E3B">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r>
        <w:rPr>
          <w:rFonts w:hint="eastAsia" w:ascii="宋体" w:hAnsi="宋体" w:eastAsia="宋体" w:cs="宋体"/>
          <w:spacing w:val="8"/>
          <w:sz w:val="28"/>
          <w:szCs w:val="28"/>
          <w:lang w:eastAsia="zh-CN"/>
        </w:rPr>
        <w:t>⑴地质灾害治理技术可行性分析</w:t>
      </w:r>
    </w:p>
    <w:p w14:paraId="05C13483">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r>
        <w:rPr>
          <w:rFonts w:hint="eastAsia" w:ascii="宋体" w:hAnsi="宋体" w:eastAsia="宋体" w:cs="宋体"/>
          <w:spacing w:val="8"/>
          <w:sz w:val="28"/>
          <w:szCs w:val="28"/>
          <w:lang w:eastAsia="zh-CN"/>
        </w:rPr>
        <w:t>根据评估，矿区地质灾害类型主要为现状及未来采场周边</w:t>
      </w:r>
      <w:r>
        <w:rPr>
          <w:rFonts w:hint="eastAsia" w:ascii="宋体" w:hAnsi="宋体" w:eastAsia="宋体" w:cs="宋体"/>
          <w:spacing w:val="8"/>
          <w:sz w:val="28"/>
          <w:szCs w:val="28"/>
          <w:lang w:val="en-US" w:eastAsia="zh-CN"/>
        </w:rPr>
        <w:t>崩塌地质灾害</w:t>
      </w:r>
      <w:r>
        <w:rPr>
          <w:rFonts w:hint="eastAsia" w:ascii="宋体" w:hAnsi="宋体" w:eastAsia="宋体" w:cs="宋体"/>
          <w:spacing w:val="8"/>
          <w:sz w:val="28"/>
          <w:szCs w:val="28"/>
          <w:lang w:eastAsia="zh-CN"/>
        </w:rPr>
        <w:t>的防治。在生产期间应严格进行台阶式规范化开采，形成</w:t>
      </w:r>
      <w:r>
        <w:rPr>
          <w:rFonts w:hint="eastAsia" w:ascii="宋体" w:hAnsi="宋体" w:eastAsia="宋体" w:cs="宋体"/>
          <w:spacing w:val="8"/>
          <w:sz w:val="28"/>
          <w:szCs w:val="28"/>
          <w:lang w:val="en-US" w:eastAsia="zh-CN"/>
        </w:rPr>
        <w:t>4</w:t>
      </w:r>
      <w:r>
        <w:rPr>
          <w:rFonts w:hint="eastAsia" w:ascii="宋体" w:hAnsi="宋体" w:eastAsia="宋体" w:cs="宋体"/>
          <w:spacing w:val="8"/>
          <w:sz w:val="28"/>
          <w:szCs w:val="28"/>
          <w:lang w:eastAsia="zh-CN"/>
        </w:rPr>
        <w:t>m高的台阶、最终边坡角为</w:t>
      </w:r>
      <w:r>
        <w:rPr>
          <w:rFonts w:hint="eastAsia" w:ascii="宋体" w:hAnsi="宋体" w:eastAsia="宋体" w:cs="宋体"/>
          <w:spacing w:val="8"/>
          <w:sz w:val="28"/>
          <w:szCs w:val="28"/>
          <w:lang w:val="en-US" w:eastAsia="zh-CN"/>
        </w:rPr>
        <w:t>4</w:t>
      </w:r>
      <w:r>
        <w:rPr>
          <w:rFonts w:hint="eastAsia" w:ascii="宋体" w:hAnsi="宋体" w:eastAsia="宋体" w:cs="宋体"/>
          <w:spacing w:val="8"/>
          <w:sz w:val="28"/>
          <w:szCs w:val="28"/>
          <w:lang w:eastAsia="zh-CN"/>
        </w:rPr>
        <w:t>5°,以安全坡角为准同时及时的对采矿边坡进行处理，以消除边坡</w:t>
      </w:r>
      <w:r>
        <w:rPr>
          <w:rFonts w:hint="eastAsia" w:ascii="宋体" w:hAnsi="宋体" w:eastAsia="宋体" w:cs="宋体"/>
          <w:spacing w:val="8"/>
          <w:sz w:val="28"/>
          <w:szCs w:val="28"/>
          <w:lang w:val="en-US" w:eastAsia="zh-CN"/>
        </w:rPr>
        <w:t>发生不稳定斜坡</w:t>
      </w:r>
      <w:r>
        <w:rPr>
          <w:rFonts w:hint="eastAsia" w:ascii="宋体" w:hAnsi="宋体" w:eastAsia="宋体" w:cs="宋体"/>
          <w:spacing w:val="8"/>
          <w:sz w:val="28"/>
          <w:szCs w:val="28"/>
          <w:lang w:eastAsia="zh-CN"/>
        </w:rPr>
        <w:t>对工作人员的安全隐患。采矿活动引发的采场边坡不稳定，采取堆积物清除工程对边坡进行防护，做好坡脚警示工作。开采结束后采矿场地以及工程建设场地及时平整恢复，降低开采形成的不稳定边坡的坡脚，防止以后造成地质灾害，从而减轻或避免地质灾害对矿区群众构成的潜在威胁，技术上可行。</w:t>
      </w:r>
    </w:p>
    <w:p w14:paraId="0DF18B79">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r>
        <w:rPr>
          <w:rFonts w:hint="eastAsia" w:ascii="宋体" w:hAnsi="宋体" w:eastAsia="宋体" w:cs="宋体"/>
          <w:spacing w:val="8"/>
          <w:sz w:val="28"/>
          <w:szCs w:val="28"/>
          <w:lang w:eastAsia="zh-CN"/>
        </w:rPr>
        <w:t>⑵矿区地形地貌景观治理技术可行性分析</w:t>
      </w:r>
    </w:p>
    <w:p w14:paraId="0680490C">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r>
        <w:rPr>
          <w:rFonts w:hint="eastAsia" w:ascii="宋体" w:hAnsi="宋体" w:eastAsia="宋体" w:cs="宋体"/>
          <w:spacing w:val="8"/>
          <w:sz w:val="28"/>
          <w:szCs w:val="28"/>
          <w:lang w:eastAsia="zh-CN"/>
        </w:rPr>
        <w:t>矿业活动对原始地貌景观影响严重—较严重，矿山闭坑后应采取合适的工程措施，对采矿活动损毁的地形地貌景观进行修复，主要是恢复和改善采矿场地及其周围的自然环境，保持与周围环境协调。对遭受破坏或废弃的土地进行整治恢复。开采结束后对矿区的土地进行平整恢复。上述治理方案工作较简单，同类矿山有很多比较成熟的矿山地质环境治理技术与方法。因此，矿区地形地貌景观（地质遗迹、人文景观）治理技术可行。</w:t>
      </w:r>
    </w:p>
    <w:p w14:paraId="027F0BA8">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r>
        <w:rPr>
          <w:rFonts w:hint="eastAsia" w:ascii="宋体" w:hAnsi="宋体" w:eastAsia="宋体" w:cs="宋体"/>
          <w:spacing w:val="8"/>
          <w:sz w:val="28"/>
          <w:szCs w:val="28"/>
          <w:lang w:eastAsia="zh-CN"/>
        </w:rPr>
        <w:t>⑶矿区水土环境污染修复技术可行性分析</w:t>
      </w:r>
    </w:p>
    <w:p w14:paraId="5EEEEBA5">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r>
        <w:rPr>
          <w:rFonts w:hint="eastAsia" w:ascii="宋体" w:hAnsi="宋体" w:eastAsia="宋体" w:cs="宋体"/>
          <w:spacing w:val="8"/>
          <w:sz w:val="28"/>
          <w:szCs w:val="28"/>
          <w:lang w:eastAsia="zh-CN"/>
        </w:rPr>
        <w:t>据评估，矿业活动对水土环境污染较轻，因此主要采取预防措施。矿山运营期间，生活污水集中排放，经沉淀后，作为工业场地和矿山道路洒水除尘用水。水土环境污染监测等均为常规性监测，技术上可行。</w:t>
      </w:r>
    </w:p>
    <w:p w14:paraId="0ED2FAF4">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bookmarkStart w:id="135" w:name="_Toc7468"/>
      <w:r>
        <w:rPr>
          <w:rFonts w:hint="eastAsia" w:ascii="宋体" w:hAnsi="宋体" w:eastAsia="宋体" w:cs="宋体"/>
          <w:spacing w:val="8"/>
          <w:sz w:val="28"/>
          <w:szCs w:val="28"/>
          <w:lang w:eastAsia="zh-CN"/>
        </w:rPr>
        <w:t>2、经济可行性分析</w:t>
      </w:r>
      <w:bookmarkEnd w:id="135"/>
    </w:p>
    <w:p w14:paraId="4EF21D3C">
      <w:pPr>
        <w:widowControl w:val="0"/>
        <w:kinsoku/>
        <w:adjustRightInd/>
        <w:snapToGrid/>
        <w:spacing w:line="360" w:lineRule="auto"/>
        <w:ind w:firstLine="592" w:firstLineChars="200"/>
        <w:jc w:val="both"/>
        <w:rPr>
          <w:rFonts w:hint="eastAsia" w:ascii="宋体" w:hAnsi="宋体" w:eastAsia="宋体" w:cs="宋体"/>
          <w:spacing w:val="8"/>
          <w:sz w:val="28"/>
          <w:szCs w:val="28"/>
          <w:lang w:eastAsia="zh-CN"/>
        </w:rPr>
      </w:pPr>
      <w:r>
        <w:rPr>
          <w:rFonts w:hint="eastAsia" w:ascii="宋体" w:hAnsi="宋体" w:eastAsia="宋体" w:cs="宋体"/>
          <w:spacing w:val="8"/>
          <w:sz w:val="28"/>
          <w:szCs w:val="28"/>
          <w:lang w:eastAsia="zh-CN"/>
        </w:rPr>
        <w:t>根据财政部自然资源部环保部同时下发《关于取消矿山地质环境治理恢复保证金建立矿山地质环境治理恢复基金的指导意见》（财建[2017]638），取消保证金制度，建立矿山环境恢复治理与生态修复基金。依据“谁开发谁保护，谁破坏谁治理，谁受益谁出资”的原则，格尔木昆鹏能源开发建设有限公司承担该矿山的恢复治理与生态修复责任，筹全额集资金，并自行开设基金账户，专项用于矿区生态修复工作</w:t>
      </w:r>
      <w:r>
        <w:rPr>
          <w:rFonts w:hint="eastAsia" w:ascii="宋体" w:hAnsi="宋体" w:eastAsia="宋体" w:cs="宋体"/>
          <w:spacing w:val="8"/>
          <w:sz w:val="28"/>
          <w:szCs w:val="28"/>
          <w:lang w:val="en-US" w:eastAsia="zh-CN"/>
        </w:rPr>
        <w:t>,近年来恢复治理基金每年提取2万,用于矿区前期的恢复治理工程,现</w:t>
      </w:r>
      <w:r>
        <w:rPr>
          <w:rFonts w:hint="eastAsia" w:ascii="宋体" w:hAnsi="宋体" w:eastAsia="宋体" w:cs="宋体"/>
          <w:spacing w:val="8"/>
          <w:sz w:val="28"/>
          <w:szCs w:val="28"/>
          <w:lang w:eastAsia="zh-CN"/>
        </w:rPr>
        <w:t>生态修复基金账户剩余额度为</w:t>
      </w:r>
      <w:r>
        <w:rPr>
          <w:rFonts w:hint="eastAsia" w:ascii="宋体" w:hAnsi="宋体" w:eastAsia="宋体" w:cs="宋体"/>
          <w:spacing w:val="8"/>
          <w:sz w:val="28"/>
          <w:szCs w:val="28"/>
          <w:lang w:val="en-US" w:eastAsia="zh-CN"/>
        </w:rPr>
        <w:t>4万元左右</w:t>
      </w:r>
      <w:r>
        <w:rPr>
          <w:rFonts w:hint="eastAsia" w:ascii="宋体" w:hAnsi="宋体" w:eastAsia="宋体" w:cs="宋体"/>
          <w:spacing w:val="8"/>
          <w:sz w:val="28"/>
          <w:szCs w:val="28"/>
          <w:lang w:eastAsia="zh-CN"/>
        </w:rPr>
        <w:t>。</w:t>
      </w:r>
    </w:p>
    <w:p w14:paraId="39586249">
      <w:pPr>
        <w:widowControl w:val="0"/>
        <w:kinsoku/>
        <w:adjustRightInd/>
        <w:snapToGrid/>
        <w:spacing w:line="360" w:lineRule="auto"/>
        <w:ind w:firstLine="592" w:firstLineChars="200"/>
        <w:jc w:val="both"/>
        <w:rPr>
          <w:rFonts w:hint="eastAsia" w:ascii="宋体" w:hAnsi="宋体" w:eastAsia="宋体" w:cs="宋体"/>
          <w:color w:val="auto"/>
          <w:spacing w:val="8"/>
          <w:sz w:val="28"/>
          <w:szCs w:val="28"/>
          <w:lang w:eastAsia="zh-CN"/>
        </w:rPr>
      </w:pPr>
      <w:r>
        <w:rPr>
          <w:rFonts w:hint="eastAsia" w:ascii="宋体" w:hAnsi="宋体" w:eastAsia="宋体" w:cs="宋体"/>
          <w:spacing w:val="8"/>
          <w:sz w:val="28"/>
          <w:szCs w:val="28"/>
          <w:lang w:eastAsia="zh-CN"/>
        </w:rPr>
        <w:t>矿山的开采将为矿山企业积累大量的财富，完全有承担矿区生态修复的经济能力，因此经济上可行。</w:t>
      </w:r>
    </w:p>
    <w:p w14:paraId="0EBF5C0B">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136" w:name="bookmark116"/>
      <w:bookmarkEnd w:id="136"/>
      <w:bookmarkStart w:id="137" w:name="bookmark115"/>
      <w:bookmarkEnd w:id="137"/>
      <w:bookmarkStart w:id="138" w:name="_Toc20610"/>
      <w:r>
        <w:rPr>
          <w:rFonts w:hint="eastAsia" w:ascii="宋体" w:hAnsi="宋体" w:eastAsia="宋体" w:cs="宋体"/>
          <w:sz w:val="28"/>
          <w:szCs w:val="28"/>
          <w:lang w:eastAsia="zh-CN"/>
        </w:rPr>
        <w:t>（二）目标方向可行性分析</w:t>
      </w:r>
      <w:bookmarkEnd w:id="138"/>
    </w:p>
    <w:p w14:paraId="5E3ADD7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bookmarkStart w:id="139" w:name="bookmark123"/>
      <w:bookmarkEnd w:id="139"/>
      <w:bookmarkStart w:id="140" w:name="bookmark122"/>
      <w:bookmarkEnd w:id="140"/>
      <w:bookmarkStart w:id="141" w:name="_Toc16559"/>
      <w:r>
        <w:rPr>
          <w:rFonts w:hint="eastAsia" w:ascii="宋体" w:hAnsi="宋体" w:eastAsia="宋体" w:cs="宋体"/>
          <w:sz w:val="28"/>
          <w:szCs w:val="28"/>
          <w:lang w:eastAsia="zh-CN"/>
        </w:rPr>
        <w:t>1、修复区土地利用现状</w:t>
      </w:r>
      <w:bookmarkEnd w:id="141"/>
    </w:p>
    <w:p w14:paraId="134E5B3F">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本项目中矿区土地利用类型为采矿用地、农村道路及沙地，见表3-13。</w:t>
      </w:r>
    </w:p>
    <w:p w14:paraId="12F49010">
      <w:pPr>
        <w:widowControl w:val="0"/>
        <w:kinsoku/>
        <w:adjustRightInd/>
        <w:snapToGrid/>
        <w:jc w:val="center"/>
        <w:rPr>
          <w:rFonts w:ascii="宋体" w:hAnsi="宋体" w:eastAsia="宋体" w:cs="宋体"/>
          <w:b/>
          <w:bCs/>
          <w:spacing w:val="-2"/>
          <w:lang w:eastAsia="zh-CN"/>
        </w:rPr>
      </w:pPr>
    </w:p>
    <w:p w14:paraId="5EF7D8E8">
      <w:pPr>
        <w:widowControl w:val="0"/>
        <w:kinsoku/>
        <w:adjustRightInd/>
        <w:snapToGrid/>
        <w:jc w:val="center"/>
        <w:rPr>
          <w:rFonts w:ascii="宋体" w:hAnsi="宋体" w:eastAsia="宋体" w:cs="宋体"/>
          <w:b/>
          <w:bCs/>
          <w:spacing w:val="-2"/>
          <w:lang w:eastAsia="zh-CN"/>
        </w:rPr>
      </w:pPr>
    </w:p>
    <w:p w14:paraId="5342E025">
      <w:pPr>
        <w:widowControl w:val="0"/>
        <w:kinsoku/>
        <w:adjustRightInd/>
        <w:snapToGrid/>
        <w:jc w:val="center"/>
        <w:rPr>
          <w:rFonts w:ascii="宋体" w:hAnsi="宋体" w:eastAsia="宋体" w:cs="宋体"/>
          <w:b/>
          <w:bCs/>
          <w:spacing w:val="-2"/>
          <w:lang w:eastAsia="zh-CN"/>
        </w:rPr>
      </w:pPr>
    </w:p>
    <w:p w14:paraId="5C06D7BB">
      <w:pPr>
        <w:widowControl w:val="0"/>
        <w:kinsoku/>
        <w:adjustRightInd/>
        <w:snapToGrid/>
        <w:jc w:val="center"/>
        <w:rPr>
          <w:rFonts w:ascii="宋体" w:hAnsi="宋体" w:eastAsia="宋体" w:cs="宋体"/>
          <w:b/>
          <w:bCs/>
          <w:spacing w:val="-2"/>
          <w:lang w:eastAsia="zh-CN"/>
        </w:rPr>
      </w:pPr>
    </w:p>
    <w:p w14:paraId="1AC31F1C">
      <w:pPr>
        <w:widowControl w:val="0"/>
        <w:kinsoku/>
        <w:adjustRightInd/>
        <w:snapToGrid/>
        <w:jc w:val="center"/>
        <w:rPr>
          <w:rFonts w:ascii="宋体" w:hAnsi="宋体" w:eastAsia="宋体" w:cs="宋体"/>
          <w:b/>
          <w:bCs/>
          <w:spacing w:val="-2"/>
          <w:lang w:eastAsia="zh-CN"/>
        </w:rPr>
      </w:pPr>
    </w:p>
    <w:p w14:paraId="400F4AE4">
      <w:pPr>
        <w:widowControl w:val="0"/>
        <w:kinsoku/>
        <w:adjustRightInd/>
        <w:snapToGrid/>
        <w:jc w:val="center"/>
        <w:rPr>
          <w:rFonts w:hint="eastAsia" w:ascii="宋体" w:hAnsi="宋体" w:eastAsia="宋体" w:cs="宋体"/>
          <w:b/>
          <w:bCs/>
          <w:spacing w:val="-2"/>
          <w:lang w:eastAsia="zh-CN"/>
        </w:rPr>
      </w:pPr>
      <w:r>
        <w:rPr>
          <w:rFonts w:ascii="宋体" w:hAnsi="宋体" w:eastAsia="宋体" w:cs="宋体"/>
          <w:b/>
          <w:bCs/>
          <w:spacing w:val="-2"/>
          <w:lang w:eastAsia="zh-CN"/>
        </w:rPr>
        <w:t>表</w:t>
      </w:r>
      <w:r>
        <w:rPr>
          <w:rFonts w:hint="eastAsia" w:ascii="宋体" w:hAnsi="宋体" w:eastAsia="宋体" w:cs="宋体"/>
          <w:b/>
          <w:bCs/>
          <w:spacing w:val="-2"/>
          <w:lang w:eastAsia="zh-CN"/>
        </w:rPr>
        <w:t>3-13  修复区</w:t>
      </w:r>
      <w:r>
        <w:rPr>
          <w:rFonts w:ascii="宋体" w:hAnsi="宋体" w:eastAsia="宋体" w:cs="宋体"/>
          <w:b/>
          <w:bCs/>
          <w:spacing w:val="-2"/>
          <w:lang w:eastAsia="zh-CN"/>
        </w:rPr>
        <w:t>土地利用现状表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1820"/>
        <w:gridCol w:w="1257"/>
        <w:gridCol w:w="1456"/>
        <w:gridCol w:w="2902"/>
      </w:tblGrid>
      <w:tr w14:paraId="682BB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67" w:type="dxa"/>
            <w:gridSpan w:val="2"/>
            <w:vAlign w:val="center"/>
          </w:tcPr>
          <w:p w14:paraId="7216F47D">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bookmarkStart w:id="142" w:name="bookmark125"/>
            <w:bookmarkEnd w:id="142"/>
            <w:bookmarkStart w:id="143" w:name="bookmark126"/>
            <w:bookmarkEnd w:id="143"/>
            <w:bookmarkStart w:id="144" w:name="bookmark124"/>
            <w:bookmarkEnd w:id="144"/>
            <w:bookmarkStart w:id="145" w:name="bookmark127"/>
            <w:bookmarkEnd w:id="145"/>
            <w:bookmarkStart w:id="146" w:name="_Toc29978"/>
            <w:r>
              <w:rPr>
                <w:rFonts w:hint="eastAsia" w:ascii="宋体" w:hAnsi="宋体" w:eastAsia="宋体" w:cs="宋体"/>
                <w:sz w:val="21"/>
                <w:szCs w:val="21"/>
              </w:rPr>
              <w:t>一级地类</w:t>
            </w:r>
          </w:p>
        </w:tc>
        <w:tc>
          <w:tcPr>
            <w:tcW w:w="2713" w:type="dxa"/>
            <w:gridSpan w:val="2"/>
            <w:vAlign w:val="center"/>
          </w:tcPr>
          <w:p w14:paraId="1EDA0569">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z w:val="21"/>
                <w:szCs w:val="21"/>
              </w:rPr>
              <w:t>二级地类</w:t>
            </w:r>
          </w:p>
        </w:tc>
        <w:tc>
          <w:tcPr>
            <w:tcW w:w="2902" w:type="dxa"/>
            <w:vAlign w:val="center"/>
          </w:tcPr>
          <w:p w14:paraId="56CCD43C">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z w:val="21"/>
                <w:szCs w:val="21"/>
              </w:rPr>
              <w:t>矿区面积（hm</w:t>
            </w:r>
            <w:r>
              <w:rPr>
                <w:rFonts w:hint="eastAsia" w:ascii="宋体" w:hAnsi="宋体" w:eastAsia="宋体" w:cs="宋体"/>
                <w:sz w:val="21"/>
                <w:szCs w:val="21"/>
                <w:vertAlign w:val="superscript"/>
              </w:rPr>
              <w:t>2</w:t>
            </w:r>
            <w:r>
              <w:rPr>
                <w:rFonts w:hint="eastAsia" w:ascii="宋体" w:hAnsi="宋体" w:eastAsia="宋体" w:cs="宋体"/>
                <w:sz w:val="21"/>
                <w:szCs w:val="21"/>
              </w:rPr>
              <w:t>）</w:t>
            </w:r>
          </w:p>
        </w:tc>
      </w:tr>
      <w:tr w14:paraId="32C7F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7" w:type="dxa"/>
            <w:vAlign w:val="center"/>
          </w:tcPr>
          <w:p w14:paraId="41BD243C">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06</w:t>
            </w:r>
          </w:p>
        </w:tc>
        <w:tc>
          <w:tcPr>
            <w:tcW w:w="1820" w:type="dxa"/>
            <w:vAlign w:val="center"/>
          </w:tcPr>
          <w:p w14:paraId="6389BD03">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工矿用地</w:t>
            </w:r>
          </w:p>
        </w:tc>
        <w:tc>
          <w:tcPr>
            <w:tcW w:w="1257" w:type="dxa"/>
            <w:vAlign w:val="center"/>
          </w:tcPr>
          <w:p w14:paraId="619E2421">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0602</w:t>
            </w:r>
          </w:p>
        </w:tc>
        <w:tc>
          <w:tcPr>
            <w:tcW w:w="1456" w:type="dxa"/>
            <w:vAlign w:val="center"/>
          </w:tcPr>
          <w:p w14:paraId="0EF5140D">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采矿用地</w:t>
            </w:r>
          </w:p>
        </w:tc>
        <w:tc>
          <w:tcPr>
            <w:tcW w:w="2902" w:type="dxa"/>
            <w:vAlign w:val="center"/>
          </w:tcPr>
          <w:p w14:paraId="3FD8A281">
            <w:pPr>
              <w:keepNext w:val="0"/>
              <w:keepLines w:val="0"/>
              <w:pageBreakBefore w:val="0"/>
              <w:widowControl w:val="0"/>
              <w:kinsoku/>
              <w:wordWrap/>
              <w:overflowPunct/>
              <w:topLinePunct w:val="0"/>
              <w:autoSpaceDE w:val="0"/>
              <w:autoSpaceDN w:val="0"/>
              <w:bidi w:val="0"/>
              <w:adjustRightInd/>
              <w:snapToGrid/>
              <w:jc w:val="center"/>
              <w:textAlignment w:val="baseline"/>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4.23</w:t>
            </w:r>
          </w:p>
        </w:tc>
      </w:tr>
      <w:tr w14:paraId="1DF64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7" w:type="dxa"/>
            <w:vAlign w:val="center"/>
          </w:tcPr>
          <w:p w14:paraId="4E8FD558">
            <w:pPr>
              <w:keepNext w:val="0"/>
              <w:keepLines w:val="0"/>
              <w:pageBreakBefore w:val="0"/>
              <w:widowControl w:val="0"/>
              <w:kinsoku/>
              <w:wordWrap/>
              <w:overflowPunct/>
              <w:topLinePunct w:val="0"/>
              <w:autoSpaceDE w:val="0"/>
              <w:autoSpaceDN w:val="0"/>
              <w:bidi w:val="0"/>
              <w:adjustRightInd/>
              <w:snapToGrid/>
              <w:jc w:val="center"/>
              <w:textAlignment w:val="baseline"/>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1820" w:type="dxa"/>
            <w:vAlign w:val="center"/>
          </w:tcPr>
          <w:p w14:paraId="1183BC19">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交通运输用地</w:t>
            </w:r>
          </w:p>
        </w:tc>
        <w:tc>
          <w:tcPr>
            <w:tcW w:w="1257" w:type="dxa"/>
            <w:vAlign w:val="center"/>
          </w:tcPr>
          <w:p w14:paraId="39E57880">
            <w:pPr>
              <w:keepNext w:val="0"/>
              <w:keepLines w:val="0"/>
              <w:pageBreakBefore w:val="0"/>
              <w:widowControl w:val="0"/>
              <w:kinsoku/>
              <w:wordWrap/>
              <w:overflowPunct/>
              <w:topLinePunct w:val="0"/>
              <w:autoSpaceDE w:val="0"/>
              <w:autoSpaceDN w:val="0"/>
              <w:bidi w:val="0"/>
              <w:adjustRightInd/>
              <w:snapToGrid/>
              <w:jc w:val="center"/>
              <w:textAlignment w:val="baseline"/>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1006</w:t>
            </w:r>
          </w:p>
        </w:tc>
        <w:tc>
          <w:tcPr>
            <w:tcW w:w="1456" w:type="dxa"/>
            <w:vAlign w:val="center"/>
          </w:tcPr>
          <w:p w14:paraId="6547BA32">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农村道路</w:t>
            </w:r>
          </w:p>
        </w:tc>
        <w:tc>
          <w:tcPr>
            <w:tcW w:w="2902" w:type="dxa"/>
            <w:vAlign w:val="center"/>
          </w:tcPr>
          <w:p w14:paraId="1D3CFD98">
            <w:pPr>
              <w:keepNext w:val="0"/>
              <w:keepLines w:val="0"/>
              <w:pageBreakBefore w:val="0"/>
              <w:widowControl w:val="0"/>
              <w:kinsoku/>
              <w:wordWrap/>
              <w:overflowPunct/>
              <w:topLinePunct w:val="0"/>
              <w:autoSpaceDE w:val="0"/>
              <w:autoSpaceDN w:val="0"/>
              <w:bidi w:val="0"/>
              <w:adjustRightInd/>
              <w:snapToGrid/>
              <w:jc w:val="center"/>
              <w:textAlignment w:val="baseline"/>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0.08</w:t>
            </w:r>
          </w:p>
        </w:tc>
      </w:tr>
      <w:tr w14:paraId="3805F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7" w:type="dxa"/>
            <w:vAlign w:val="center"/>
          </w:tcPr>
          <w:p w14:paraId="1CBBD04A">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12</w:t>
            </w:r>
          </w:p>
        </w:tc>
        <w:tc>
          <w:tcPr>
            <w:tcW w:w="1820" w:type="dxa"/>
            <w:vAlign w:val="center"/>
          </w:tcPr>
          <w:p w14:paraId="4B7AA4E4">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其他地类</w:t>
            </w:r>
          </w:p>
        </w:tc>
        <w:tc>
          <w:tcPr>
            <w:tcW w:w="1257" w:type="dxa"/>
            <w:vAlign w:val="center"/>
          </w:tcPr>
          <w:p w14:paraId="65AA76AA">
            <w:pPr>
              <w:keepNext w:val="0"/>
              <w:keepLines w:val="0"/>
              <w:pageBreakBefore w:val="0"/>
              <w:widowControl w:val="0"/>
              <w:kinsoku/>
              <w:wordWrap/>
              <w:overflowPunct/>
              <w:topLinePunct w:val="0"/>
              <w:autoSpaceDE w:val="0"/>
              <w:autoSpaceDN w:val="0"/>
              <w:bidi w:val="0"/>
              <w:adjustRightInd/>
              <w:snapToGrid/>
              <w:jc w:val="center"/>
              <w:textAlignment w:val="baseline"/>
              <w:rPr>
                <w:rFonts w:hint="default" w:ascii="宋体" w:hAnsi="宋体" w:eastAsia="宋体" w:cs="宋体"/>
                <w:sz w:val="21"/>
                <w:szCs w:val="21"/>
                <w:lang w:val="en-US" w:eastAsia="zh-CN"/>
              </w:rPr>
            </w:pPr>
            <w:r>
              <w:rPr>
                <w:rFonts w:hint="eastAsia" w:ascii="宋体" w:hAnsi="宋体" w:eastAsia="宋体" w:cs="宋体"/>
                <w:sz w:val="21"/>
                <w:szCs w:val="21"/>
                <w:lang w:eastAsia="zh-CN"/>
              </w:rPr>
              <w:t>120</w:t>
            </w:r>
            <w:r>
              <w:rPr>
                <w:rFonts w:hint="eastAsia" w:ascii="宋体" w:hAnsi="宋体" w:eastAsia="宋体" w:cs="宋体"/>
                <w:sz w:val="21"/>
                <w:szCs w:val="21"/>
                <w:lang w:val="en-US" w:eastAsia="zh-CN"/>
              </w:rPr>
              <w:t>5</w:t>
            </w:r>
          </w:p>
        </w:tc>
        <w:tc>
          <w:tcPr>
            <w:tcW w:w="1456" w:type="dxa"/>
            <w:vAlign w:val="center"/>
          </w:tcPr>
          <w:p w14:paraId="0D361C4E">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沙地</w:t>
            </w:r>
          </w:p>
        </w:tc>
        <w:tc>
          <w:tcPr>
            <w:tcW w:w="2902" w:type="dxa"/>
            <w:vAlign w:val="center"/>
          </w:tcPr>
          <w:p w14:paraId="0C7CBDCC">
            <w:pPr>
              <w:keepNext w:val="0"/>
              <w:keepLines w:val="0"/>
              <w:pageBreakBefore w:val="0"/>
              <w:widowControl w:val="0"/>
              <w:kinsoku/>
              <w:wordWrap/>
              <w:overflowPunct/>
              <w:topLinePunct w:val="0"/>
              <w:autoSpaceDE w:val="0"/>
              <w:autoSpaceDN w:val="0"/>
              <w:bidi w:val="0"/>
              <w:adjustRightInd/>
              <w:snapToGrid/>
              <w:jc w:val="center"/>
              <w:textAlignment w:val="baseline"/>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44.78</w:t>
            </w:r>
          </w:p>
        </w:tc>
      </w:tr>
      <w:tr w14:paraId="14D35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80" w:type="dxa"/>
            <w:gridSpan w:val="4"/>
            <w:vAlign w:val="center"/>
          </w:tcPr>
          <w:p w14:paraId="46172284">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z w:val="21"/>
                <w:szCs w:val="21"/>
              </w:rPr>
              <w:t>合    计</w:t>
            </w:r>
          </w:p>
        </w:tc>
        <w:tc>
          <w:tcPr>
            <w:tcW w:w="2902" w:type="dxa"/>
            <w:vAlign w:val="center"/>
          </w:tcPr>
          <w:p w14:paraId="0E460423">
            <w:pPr>
              <w:keepNext w:val="0"/>
              <w:keepLines w:val="0"/>
              <w:pageBreakBefore w:val="0"/>
              <w:widowControl w:val="0"/>
              <w:kinsoku/>
              <w:wordWrap/>
              <w:overflowPunct/>
              <w:topLinePunct w:val="0"/>
              <w:autoSpaceDE w:val="0"/>
              <w:autoSpaceDN w:val="0"/>
              <w:bidi w:val="0"/>
              <w:adjustRightInd/>
              <w:snapToGrid/>
              <w:jc w:val="center"/>
              <w:textAlignment w:val="baseline"/>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49.09</w:t>
            </w:r>
          </w:p>
        </w:tc>
      </w:tr>
    </w:tbl>
    <w:p w14:paraId="75AC2960">
      <w:pPr>
        <w:widowControl w:val="0"/>
        <w:kinsoku/>
        <w:adjustRightInd/>
        <w:snapToGrid/>
        <w:spacing w:line="360" w:lineRule="auto"/>
        <w:ind w:firstLine="560" w:firstLineChars="200"/>
        <w:jc w:val="both"/>
        <w:rPr>
          <w:rFonts w:hint="eastAsia" w:ascii="宋体" w:hAnsi="宋体" w:eastAsia="宋体" w:cs="宋体"/>
          <w:sz w:val="28"/>
          <w:szCs w:val="28"/>
        </w:rPr>
      </w:pPr>
      <w:r>
        <w:rPr>
          <w:rFonts w:hint="eastAsia" w:ascii="宋体" w:hAnsi="宋体" w:eastAsia="宋体" w:cs="宋体"/>
          <w:sz w:val="28"/>
          <w:szCs w:val="28"/>
          <w:lang w:eastAsia="zh-CN"/>
        </w:rPr>
        <w:t>2、</w:t>
      </w:r>
      <w:r>
        <w:rPr>
          <w:rFonts w:hint="eastAsia" w:ascii="宋体" w:hAnsi="宋体" w:eastAsia="宋体" w:cs="宋体"/>
          <w:sz w:val="28"/>
          <w:szCs w:val="28"/>
        </w:rPr>
        <w:t>初步</w:t>
      </w:r>
      <w:r>
        <w:rPr>
          <w:rFonts w:hint="eastAsia" w:ascii="宋体" w:hAnsi="宋体" w:eastAsia="宋体" w:cs="宋体"/>
          <w:sz w:val="28"/>
          <w:szCs w:val="28"/>
          <w:lang w:eastAsia="zh-CN"/>
        </w:rPr>
        <w:t>修复</w:t>
      </w:r>
      <w:r>
        <w:rPr>
          <w:rFonts w:hint="eastAsia" w:ascii="宋体" w:hAnsi="宋体" w:eastAsia="宋体" w:cs="宋体"/>
          <w:sz w:val="28"/>
          <w:szCs w:val="28"/>
        </w:rPr>
        <w:t>方向的确定</w:t>
      </w:r>
      <w:bookmarkEnd w:id="146"/>
    </w:p>
    <w:p w14:paraId="68BC4BF9">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根据《格尔木市土地利用总体规划》及附图，结合矿区生态环境保护规划，从矿山实际出发，通过对自然因素、社会经济因素和公众参与的分析，确定初步修复方向。</w:t>
      </w:r>
    </w:p>
    <w:p w14:paraId="1ABB724A">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⑴自然和社会经济因素分析</w:t>
      </w:r>
    </w:p>
    <w:p w14:paraId="7529461D">
      <w:pPr>
        <w:keepNext w:val="0"/>
        <w:keepLines w:val="0"/>
        <w:pageBreakBefore w:val="0"/>
        <w:widowControl w:val="0"/>
        <w:kinsoku/>
        <w:wordWrap/>
        <w:overflowPunct w:val="0"/>
        <w:topLinePunct w:val="0"/>
        <w:autoSpaceDE/>
        <w:autoSpaceDN/>
        <w:bidi w:val="0"/>
        <w:adjustRightInd/>
        <w:snapToGrid/>
        <w:spacing w:line="360" w:lineRule="auto"/>
        <w:ind w:firstLine="560" w:firstLineChars="200"/>
        <w:jc w:val="both"/>
        <w:textAlignment w:val="baseline"/>
        <w:rPr>
          <w:rFonts w:hint="eastAsia" w:ascii="宋体" w:hAnsi="宋体" w:eastAsia="宋体" w:cs="宋体"/>
          <w:sz w:val="30"/>
          <w:szCs w:val="30"/>
          <w:lang w:val="en-US" w:eastAsia="zh-CN"/>
        </w:rPr>
      </w:pPr>
      <w:r>
        <w:rPr>
          <w:rFonts w:hint="eastAsia" w:ascii="宋体" w:hAnsi="宋体" w:eastAsia="宋体" w:cs="宋体"/>
          <w:sz w:val="28"/>
          <w:szCs w:val="28"/>
          <w:lang w:eastAsia="zh-CN"/>
        </w:rPr>
        <w:t>①地形地貌因素：</w:t>
      </w:r>
      <w:r>
        <w:rPr>
          <w:rFonts w:hint="eastAsia" w:ascii="宋体" w:hAnsi="宋体" w:eastAsia="宋体" w:cs="宋体"/>
          <w:sz w:val="30"/>
          <w:szCs w:val="30"/>
          <w:lang w:val="en-US" w:eastAsia="zh-CN"/>
        </w:rPr>
        <w:t>矿区位于格尔木河冲洪积扇的中下游地段，地貌类型为山前冲洪积平原,主要由冲、洪积扇群构成；海拔高度2869-2895米，最大相对高差26m。地形开阔平坦，总体地势南高北低，地面坡度6‰～10‰。</w:t>
      </w:r>
    </w:p>
    <w:p w14:paraId="6C6CF86C">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②气象因素：</w:t>
      </w:r>
      <w:r>
        <w:rPr>
          <w:rFonts w:hint="eastAsia" w:ascii="宋体" w:hAnsi="宋体" w:eastAsia="宋体" w:cs="宋体"/>
          <w:sz w:val="28"/>
          <w:szCs w:val="28"/>
          <w:lang w:val="en-US" w:eastAsia="zh-CN"/>
        </w:rPr>
        <w:t>矿区地处格尔木市南侧的空旷戈壁砾石带，深居内陆，远离海洋，属典型的大陆性高原气候。气候特征表现为干旱少雨，日照强烈、蒸发量大、多风、气压及含氧量低、日温差大、冬季漫长寒冷，夏季凉爽短促。据格尔木市气象站资料，矿区多年平均气温6.7℃，气温最高月(7月)平均气温17.8℃，气温最低月(1月)平均气温-8.9℃，极端高温35℃，极端低温-33.6℃。年平均降水量41.8mm，年平均蒸发量2392.6mm，日照时间长</w:t>
      </w:r>
      <w:r>
        <w:rPr>
          <w:rFonts w:hint="eastAsia" w:ascii="宋体" w:hAnsi="宋体" w:eastAsia="宋体" w:cs="宋体"/>
          <w:sz w:val="28"/>
          <w:szCs w:val="28"/>
          <w:lang w:eastAsia="zh-CN"/>
        </w:rPr>
        <w:t>。</w:t>
      </w:r>
    </w:p>
    <w:p w14:paraId="69FA8891">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③土壤因素：地表土壤形成于干燥剥蚀条件下，土体干燥，表层细土物质多受风力作用搬运，土层浅薄，有机质积累少，成壤作用微弱，表层有机质仅有0.26-0.82%。</w:t>
      </w:r>
    </w:p>
    <w:p w14:paraId="7865AFF0">
      <w:pPr>
        <w:keepNext w:val="0"/>
        <w:keepLines w:val="0"/>
        <w:pageBreakBefore w:val="0"/>
        <w:widowControl w:val="0"/>
        <w:kinsoku/>
        <w:wordWrap/>
        <w:overflowPunct w:val="0"/>
        <w:topLinePunct w:val="0"/>
        <w:autoSpaceDE w:val="0"/>
        <w:autoSpaceDN w:val="0"/>
        <w:bidi w:val="0"/>
        <w:adjustRightInd/>
        <w:snapToGrid/>
        <w:spacing w:line="360" w:lineRule="auto"/>
        <w:ind w:left="0" w:right="0" w:firstLine="560" w:firstLineChars="200"/>
        <w:jc w:val="both"/>
        <w:textAlignment w:val="auto"/>
        <w:rPr>
          <w:rFonts w:hint="eastAsia" w:ascii="宋体" w:hAnsi="宋体" w:eastAsia="宋体" w:cs="宋体"/>
          <w:spacing w:val="-2"/>
          <w:sz w:val="28"/>
          <w:szCs w:val="28"/>
          <w:lang w:val="en-US" w:eastAsia="zh-CN"/>
        </w:rPr>
      </w:pPr>
      <w:r>
        <w:rPr>
          <w:rFonts w:hint="eastAsia" w:ascii="宋体" w:hAnsi="宋体" w:eastAsia="宋体" w:cs="宋体"/>
          <w:sz w:val="28"/>
          <w:szCs w:val="28"/>
          <w:lang w:eastAsia="zh-CN"/>
        </w:rPr>
        <w:t>④社会经济因素因素：</w:t>
      </w:r>
      <w:r>
        <w:rPr>
          <w:rFonts w:hint="eastAsia" w:ascii="宋体" w:hAnsi="宋体" w:eastAsia="宋体" w:cs="宋体"/>
          <w:spacing w:val="-2"/>
          <w:sz w:val="28"/>
          <w:szCs w:val="28"/>
          <w:lang w:val="en-US" w:eastAsia="en-US"/>
        </w:rPr>
        <w:t>格尔木市隶属于青海省海西蒙古族藏族自治州。地处青海省中西部</w:t>
      </w:r>
      <w:r>
        <w:rPr>
          <w:rFonts w:hint="eastAsia" w:ascii="宋体" w:hAnsi="宋体" w:cs="宋体"/>
          <w:spacing w:val="-2"/>
          <w:sz w:val="28"/>
          <w:szCs w:val="28"/>
          <w:lang w:val="en-US" w:eastAsia="zh-CN"/>
        </w:rPr>
        <w:t>、</w:t>
      </w:r>
      <w:r>
        <w:rPr>
          <w:rFonts w:hint="eastAsia" w:ascii="宋体" w:hAnsi="宋体" w:eastAsia="宋体" w:cs="宋体"/>
          <w:spacing w:val="-2"/>
          <w:sz w:val="28"/>
          <w:szCs w:val="28"/>
          <w:lang w:val="en-US" w:eastAsia="en-US"/>
        </w:rPr>
        <w:t>青藏高原腹地，境内辖区地形复杂，大体可分为盆地高原和唐古拉山北麓两部分，属典型的高原大陆性气候</w:t>
      </w:r>
      <w:r>
        <w:rPr>
          <w:rFonts w:hint="eastAsia" w:ascii="宋体" w:hAnsi="宋体" w:cs="宋体"/>
          <w:spacing w:val="-2"/>
          <w:sz w:val="28"/>
          <w:szCs w:val="28"/>
          <w:lang w:val="en-US" w:eastAsia="zh-CN"/>
        </w:rPr>
        <w:t>；</w:t>
      </w:r>
      <w:r>
        <w:rPr>
          <w:rFonts w:hint="eastAsia" w:ascii="宋体" w:hAnsi="宋体" w:eastAsia="宋体" w:cs="宋体"/>
          <w:spacing w:val="-2"/>
          <w:sz w:val="28"/>
          <w:szCs w:val="28"/>
          <w:lang w:val="en-US" w:eastAsia="en-US"/>
        </w:rPr>
        <w:t>总面积118954.18km</w:t>
      </w:r>
      <w:r>
        <w:rPr>
          <w:rFonts w:hint="eastAsia" w:ascii="宋体" w:hAnsi="宋体" w:eastAsia="宋体" w:cs="宋体"/>
          <w:spacing w:val="-2"/>
          <w:sz w:val="28"/>
          <w:szCs w:val="28"/>
          <w:vertAlign w:val="superscript"/>
          <w:lang w:val="en-US" w:eastAsia="en-US"/>
        </w:rPr>
        <w:t>2</w:t>
      </w:r>
      <w:r>
        <w:rPr>
          <w:rFonts w:hint="eastAsia" w:ascii="宋体" w:hAnsi="宋体" w:eastAsia="宋体" w:cs="宋体"/>
          <w:spacing w:val="-2"/>
          <w:sz w:val="28"/>
          <w:szCs w:val="28"/>
          <w:lang w:val="en-US" w:eastAsia="en-US"/>
        </w:rPr>
        <w:t>，辖5个街道</w:t>
      </w:r>
      <w:r>
        <w:rPr>
          <w:rFonts w:hint="eastAsia" w:ascii="宋体" w:hAnsi="宋体" w:cs="宋体"/>
          <w:spacing w:val="-2"/>
          <w:sz w:val="28"/>
          <w:szCs w:val="28"/>
          <w:lang w:val="en-US" w:eastAsia="zh-CN"/>
        </w:rPr>
        <w:t>、</w:t>
      </w:r>
      <w:r>
        <w:rPr>
          <w:rFonts w:hint="eastAsia" w:ascii="宋体" w:hAnsi="宋体" w:eastAsia="宋体" w:cs="宋体"/>
          <w:spacing w:val="-2"/>
          <w:sz w:val="28"/>
          <w:szCs w:val="28"/>
          <w:lang w:val="en-US" w:eastAsia="en-US"/>
        </w:rPr>
        <w:t>2个镇</w:t>
      </w:r>
      <w:r>
        <w:rPr>
          <w:rFonts w:hint="eastAsia" w:ascii="宋体" w:hAnsi="宋体" w:cs="宋体"/>
          <w:spacing w:val="-2"/>
          <w:sz w:val="28"/>
          <w:szCs w:val="28"/>
          <w:lang w:val="en-US" w:eastAsia="zh-CN"/>
        </w:rPr>
        <w:t>、</w:t>
      </w:r>
      <w:r>
        <w:rPr>
          <w:rFonts w:hint="eastAsia" w:ascii="宋体" w:hAnsi="宋体" w:eastAsia="宋体" w:cs="宋体"/>
          <w:spacing w:val="-2"/>
          <w:sz w:val="28"/>
          <w:szCs w:val="28"/>
          <w:lang w:val="en-US" w:eastAsia="en-US"/>
        </w:rPr>
        <w:t>2个乡</w:t>
      </w:r>
      <w:r>
        <w:rPr>
          <w:rFonts w:hint="eastAsia" w:ascii="宋体" w:hAnsi="宋体" w:cs="宋体"/>
          <w:spacing w:val="-2"/>
          <w:sz w:val="28"/>
          <w:szCs w:val="28"/>
          <w:lang w:val="en-US" w:eastAsia="zh-CN"/>
        </w:rPr>
        <w:t>。</w:t>
      </w:r>
    </w:p>
    <w:p w14:paraId="315A459A">
      <w:pPr>
        <w:keepNext w:val="0"/>
        <w:keepLines w:val="0"/>
        <w:pageBreakBefore w:val="0"/>
        <w:widowControl w:val="0"/>
        <w:kinsoku/>
        <w:wordWrap/>
        <w:overflowPunct w:val="0"/>
        <w:topLinePunct w:val="0"/>
        <w:autoSpaceDE w:val="0"/>
        <w:autoSpaceDN w:val="0"/>
        <w:bidi w:val="0"/>
        <w:adjustRightInd/>
        <w:snapToGrid/>
        <w:spacing w:line="360" w:lineRule="auto"/>
        <w:ind w:left="0" w:right="0" w:firstLine="560" w:firstLineChars="200"/>
        <w:jc w:val="both"/>
        <w:textAlignment w:val="auto"/>
        <w:rPr>
          <w:rFonts w:hint="eastAsia" w:ascii="宋体" w:hAnsi="宋体" w:eastAsia="宋体" w:cs="宋体"/>
          <w:spacing w:val="-2"/>
          <w:sz w:val="28"/>
          <w:szCs w:val="28"/>
          <w:lang w:val="en-US" w:eastAsia="en-US"/>
        </w:rPr>
      </w:pPr>
      <w:r>
        <w:rPr>
          <w:rFonts w:hint="eastAsia" w:ascii="宋体" w:hAnsi="宋体" w:cs="宋体"/>
          <w:sz w:val="28"/>
          <w:szCs w:val="28"/>
          <w:lang w:eastAsia="zh-CN"/>
        </w:rPr>
        <w:t>矿区位于青海省格尔木市南侧，隶属格尔木市管辖</w:t>
      </w:r>
      <w:r>
        <w:rPr>
          <w:rFonts w:hint="eastAsia" w:ascii="宋体" w:hAnsi="宋体" w:eastAsia="宋体" w:cs="宋体"/>
          <w:spacing w:val="-2"/>
          <w:sz w:val="28"/>
          <w:szCs w:val="28"/>
          <w:lang w:val="en-US" w:eastAsia="en-US"/>
        </w:rPr>
        <w:t>，矿区周围无固定居民点，无电，无牧业活动，主要生活生产物资由格尔木市供给。</w:t>
      </w:r>
    </w:p>
    <w:p w14:paraId="03E42335">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⑵公众参与分析</w:t>
      </w:r>
    </w:p>
    <w:p w14:paraId="6CA9CDF3">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方案编制过程中，遵循公众广泛参与的原则，为使评价工作更具民主化、公众化、科学化，特向广大公众征求意见。过程中对当地村民及矿区工人进行了调查，在核实当地的土地利用现状及权属性质后，提出修复区确定的修复土地用途必须符合土地利用总体规划。</w:t>
      </w:r>
      <w:bookmarkStart w:id="147" w:name="_Toc23860"/>
    </w:p>
    <w:p w14:paraId="19B7D4F7">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3、生态修复可行性评价</w:t>
      </w:r>
      <w:bookmarkEnd w:id="147"/>
    </w:p>
    <w:p w14:paraId="3C71B7D6">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根据矿区待修复土地资源特殊的地理条件，处于高原山区特定环境之下，土地用途受到较大限制，依照可修复性与最佳效益原则、因地制宜和农用地优先原则。考虑矿区实际和可持续发展，矿区生态修复利用方向应首先考虑的是沙地，因此，该矿区土地适宜性评价时只针对沙地一种修复方向进行重点说明。</w:t>
      </w:r>
    </w:p>
    <w:p w14:paraId="71A657BE">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矿山建设和开采过程中，对矿区范围内的土地资源造成了不同程度的损毁，损毁方式为挖损和压占。按照国家相关规定，因地制宜地采取工程等整治措施，使其恢复到可利用状态，坚持可持续发展的原则，达到社会、经济、生态效益的统一。</w:t>
      </w:r>
    </w:p>
    <w:p w14:paraId="15810D69">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4、目标方向可行性原则</w:t>
      </w:r>
    </w:p>
    <w:p w14:paraId="12EC3284">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⑴符合土地利用总体规划，并与其他规划相协调的原则：根据格尔木市土地总体规划，青海省格尔木市茶格高速南建筑用砂2#矿其土地规划为沙地，所以确定土地利用的方向为沙地。</w:t>
      </w:r>
    </w:p>
    <w:p w14:paraId="0A5A9C5E">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⑵因地制宜原则：土地利用受周围环境条件制约，土地利用方式必须有与环境特征相适应的配套设施。根据矿山原土地类型及其生长的植被，因地制宜、扬长避短、发挥优势，确定合理的利用方向，最终确定修复方向为沙地。</w:t>
      </w:r>
    </w:p>
    <w:p w14:paraId="512D6E48">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⑶自然因素和社会经济因素相结合原则：矿山地处中高山区，侵蚀切割程度强烈，气候相对干旱，表层土壤为</w:t>
      </w:r>
      <w:r>
        <w:rPr>
          <w:rFonts w:hint="eastAsia"/>
          <w:sz w:val="28"/>
          <w:szCs w:val="28"/>
          <w:lang w:eastAsia="zh-CN"/>
        </w:rPr>
        <w:t>坡积碎石及黄土覆盖</w:t>
      </w:r>
      <w:r>
        <w:rPr>
          <w:rFonts w:hint="eastAsia" w:ascii="宋体" w:hAnsi="宋体" w:eastAsia="宋体" w:cs="宋体"/>
          <w:sz w:val="28"/>
          <w:szCs w:val="28"/>
          <w:lang w:eastAsia="zh-CN"/>
        </w:rPr>
        <w:t>，由干旱气候所决定以沙地为适宜，社会经济也以沙地生态环境为宜。最终确定可恢复为沙地。</w:t>
      </w:r>
    </w:p>
    <w:p w14:paraId="56EC9978">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⑷主导限制因素与综合平衡原则：最终开采后采场地形态为微倾平坡，开采掌子面为台阶，具备沙地修复的立地条件，但该地区比较干旱，因此沙地修复无主导限制因素。</w:t>
      </w:r>
    </w:p>
    <w:p w14:paraId="4DC87E37">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bookmarkStart w:id="148" w:name="bookmark266"/>
      <w:bookmarkEnd w:id="148"/>
      <w:r>
        <w:rPr>
          <w:rFonts w:hint="eastAsia" w:ascii="宋体" w:hAnsi="宋体" w:eastAsia="宋体" w:cs="宋体"/>
          <w:sz w:val="28"/>
          <w:szCs w:val="28"/>
          <w:lang w:eastAsia="zh-CN"/>
        </w:rPr>
        <w:t>⑸综合效益最佳原则：在确定土地的修复方向时，首先了考虑其最佳综合效益，选择最佳的利用方向为沙地，能恢复出效果良好的沙地。</w:t>
      </w:r>
    </w:p>
    <w:p w14:paraId="1F9ED3DB">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⑹动态和土地可持续利用原则：修复土地损毁是一个动态过程，修复土地的适宜性也随损毁等级与过程而变化，具有动态性，在进行修复土地的适宜性评价时，应考虑矿区工农业发展的前景、科技进步以及生产和生活水平所带来的社会需求方面的变化，确定修复土地的开发利用方向。修复后的土地应既能满足保护生物多样性和生态环境的需要，又能满足人类对土地的需求，应保证生态安全和人类社会可持续发展。</w:t>
      </w:r>
    </w:p>
    <w:p w14:paraId="2B32442A">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⑺经济可行与技术合理性原则：生态修复所需的费用应在保证修复目标完整、修复效果达到修复标准的前提下，兼顾生态修复成本，尽可能减轻企业负担。修复技术应能满足修复工作顺利开展、修复效果达到修复质量的要求。</w:t>
      </w:r>
    </w:p>
    <w:p w14:paraId="426DBD4C">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5、生态修复方向可行性评价依据</w:t>
      </w:r>
    </w:p>
    <w:p w14:paraId="0703F5BD">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生态修复方向可行性评价就是评定损毁土地在修复后的用途以及适宜程度，它是进行土地利用决策，确定土地利用方向的基本依据。进行生态修复方向可行性评价，就是在结合矿区自然条件、社会经济状况以及土地利用状况的基础上，依据国家和地方的法律法规及相关规划，综合考虑土地损毁分析结果、公众参与意见以及周边类似矿山的修复经验等，采取切实可行的办法，确定修复利用方向。进行生态修复适宜性评价的主要依据如下：</w:t>
      </w:r>
    </w:p>
    <w:p w14:paraId="3DF70111">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⑴相关法律法规和规划：包括国家与地方有关生态修复的法律法规，如《中华人民共和国土地管理法》、《土地复垦条例》、土地管理的相关法律法规、格尔木市土地利用总体规划（2021-2025）及其他相关规划等。</w:t>
      </w:r>
    </w:p>
    <w:p w14:paraId="47F0C5DD">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⑵相关规程和标准：包括国家与地方的相关规程、标准等，如《土地复垦技术标准》、《土地开发整理规划编制规程》（TD/T1011－2000）等。</w:t>
      </w:r>
    </w:p>
    <w:p w14:paraId="7AE37D35">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⑶其他：包括矿区及修复责任范围内自然社会经济状况、土地损毁分析结果、土地损毁前后的土地利用状况、公众参与意见以及周边同类项目的类比分析等。</w:t>
      </w:r>
    </w:p>
    <w:p w14:paraId="044756DD">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bookmarkStart w:id="149" w:name="bookmark129"/>
      <w:bookmarkEnd w:id="149"/>
      <w:bookmarkStart w:id="150" w:name="bookmark128"/>
      <w:bookmarkEnd w:id="150"/>
      <w:bookmarkStart w:id="151" w:name="_Toc24954"/>
      <w:r>
        <w:rPr>
          <w:rFonts w:hint="eastAsia" w:ascii="宋体" w:hAnsi="宋体" w:eastAsia="宋体" w:cs="宋体"/>
          <w:sz w:val="28"/>
          <w:szCs w:val="28"/>
          <w:lang w:eastAsia="zh-CN"/>
        </w:rPr>
        <w:t>6、修复土地的可行性评价单元划分</w:t>
      </w:r>
      <w:bookmarkEnd w:id="151"/>
    </w:p>
    <w:p w14:paraId="3FDC1275">
      <w:pPr>
        <w:keepNext w:val="0"/>
        <w:keepLines w:val="0"/>
        <w:pageBreakBefore w:val="0"/>
        <w:widowControl w:val="0"/>
        <w:kinsoku/>
        <w:wordWrap/>
        <w:overflowPunct w:val="0"/>
        <w:topLinePunct w:val="0"/>
        <w:autoSpaceDE w:val="0"/>
        <w:autoSpaceDN w:val="0"/>
        <w:bidi w:val="0"/>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根据损毁土地的分析和预测结果，评价单元宜依据修复区土地的损毁类型、程度、限制因素和土壤类型等来划分，同时考虑单元内部性质相对均一或相近性、单元内土地在一定时期和空间上的差异性，将修复区内待修复土地划分为P1（采矿场地）、P2（工业场地）、P</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（矿山道路）</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个评价单元，各评价单元划分见下表3-14：</w:t>
      </w:r>
    </w:p>
    <w:p w14:paraId="1B28AF40">
      <w:pPr>
        <w:widowControl w:val="0"/>
        <w:kinsoku/>
        <w:adjustRightInd/>
        <w:snapToGrid/>
        <w:jc w:val="center"/>
        <w:rPr>
          <w:rFonts w:ascii="宋体" w:hAnsi="宋体" w:eastAsia="宋体" w:cs="宋体"/>
          <w:b/>
          <w:bCs/>
          <w:spacing w:val="-2"/>
          <w:lang w:eastAsia="zh-CN"/>
        </w:rPr>
      </w:pPr>
    </w:p>
    <w:p w14:paraId="704DA279">
      <w:pPr>
        <w:widowControl w:val="0"/>
        <w:kinsoku/>
        <w:adjustRightInd/>
        <w:snapToGrid/>
        <w:jc w:val="center"/>
        <w:rPr>
          <w:rFonts w:ascii="宋体" w:hAnsi="宋体" w:eastAsia="宋体" w:cs="宋体"/>
          <w:b/>
          <w:bCs/>
          <w:spacing w:val="-2"/>
          <w:lang w:eastAsia="zh-CN"/>
        </w:rPr>
      </w:pPr>
    </w:p>
    <w:p w14:paraId="6CA42F62">
      <w:pPr>
        <w:widowControl w:val="0"/>
        <w:kinsoku/>
        <w:adjustRightInd/>
        <w:snapToGrid/>
        <w:jc w:val="center"/>
        <w:rPr>
          <w:rFonts w:ascii="宋体" w:hAnsi="宋体" w:eastAsia="宋体" w:cs="宋体"/>
          <w:b/>
          <w:bCs/>
          <w:spacing w:val="-2"/>
          <w:lang w:eastAsia="zh-CN"/>
        </w:rPr>
      </w:pPr>
    </w:p>
    <w:p w14:paraId="1204896F">
      <w:pPr>
        <w:widowControl w:val="0"/>
        <w:kinsoku/>
        <w:adjustRightInd/>
        <w:snapToGrid/>
        <w:jc w:val="center"/>
        <w:rPr>
          <w:rFonts w:hint="eastAsia" w:ascii="宋体" w:hAnsi="宋体" w:eastAsia="宋体" w:cs="宋体"/>
          <w:b/>
          <w:bCs/>
          <w:spacing w:val="-2"/>
          <w:lang w:eastAsia="zh-CN"/>
        </w:rPr>
      </w:pPr>
      <w:r>
        <w:rPr>
          <w:rFonts w:ascii="宋体" w:hAnsi="宋体" w:eastAsia="宋体" w:cs="宋体"/>
          <w:b/>
          <w:bCs/>
          <w:spacing w:val="-2"/>
          <w:lang w:eastAsia="zh-CN"/>
        </w:rPr>
        <w:t>表</w:t>
      </w:r>
      <w:r>
        <w:rPr>
          <w:rFonts w:hint="eastAsia" w:ascii="宋体" w:hAnsi="宋体" w:eastAsia="宋体" w:cs="宋体"/>
          <w:b/>
          <w:bCs/>
          <w:spacing w:val="-2"/>
          <w:lang w:eastAsia="zh-CN"/>
        </w:rPr>
        <w:t xml:space="preserve">3-14  </w:t>
      </w:r>
      <w:r>
        <w:rPr>
          <w:rFonts w:ascii="宋体" w:hAnsi="宋体" w:eastAsia="宋体" w:cs="宋体"/>
          <w:b/>
          <w:bCs/>
          <w:spacing w:val="-2"/>
          <w:lang w:eastAsia="zh-CN"/>
        </w:rPr>
        <w:t>适宜性评价单元划分表</w:t>
      </w:r>
    </w:p>
    <w:tbl>
      <w:tblPr>
        <w:tblStyle w:val="22"/>
        <w:tblW w:w="82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3"/>
        <w:gridCol w:w="2881"/>
        <w:gridCol w:w="1504"/>
        <w:gridCol w:w="1344"/>
        <w:gridCol w:w="1782"/>
      </w:tblGrid>
      <w:tr w14:paraId="005A33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53" w:type="dxa"/>
            <w:vAlign w:val="center"/>
          </w:tcPr>
          <w:p w14:paraId="531923F1">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rFonts w:hint="eastAsia"/>
                <w:spacing w:val="-4"/>
                <w:sz w:val="21"/>
                <w:szCs w:val="21"/>
              </w:rPr>
              <w:t>序号</w:t>
            </w:r>
          </w:p>
        </w:tc>
        <w:tc>
          <w:tcPr>
            <w:tcW w:w="2881" w:type="dxa"/>
            <w:vAlign w:val="center"/>
          </w:tcPr>
          <w:p w14:paraId="0684AC5F">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rFonts w:hint="eastAsia"/>
                <w:spacing w:val="-2"/>
                <w:sz w:val="21"/>
                <w:szCs w:val="21"/>
              </w:rPr>
              <w:t>评价单元</w:t>
            </w:r>
          </w:p>
        </w:tc>
        <w:tc>
          <w:tcPr>
            <w:tcW w:w="1504" w:type="dxa"/>
            <w:vAlign w:val="center"/>
          </w:tcPr>
          <w:p w14:paraId="2AD5677E">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rFonts w:hint="eastAsia"/>
                <w:spacing w:val="-2"/>
                <w:sz w:val="21"/>
                <w:szCs w:val="21"/>
              </w:rPr>
              <w:t>损毁类型</w:t>
            </w:r>
          </w:p>
        </w:tc>
        <w:tc>
          <w:tcPr>
            <w:tcW w:w="1344" w:type="dxa"/>
            <w:vAlign w:val="center"/>
          </w:tcPr>
          <w:p w14:paraId="57F02257">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rFonts w:hint="eastAsia"/>
                <w:spacing w:val="-2"/>
                <w:sz w:val="21"/>
                <w:szCs w:val="21"/>
              </w:rPr>
              <w:t>损毁程度</w:t>
            </w:r>
          </w:p>
        </w:tc>
        <w:tc>
          <w:tcPr>
            <w:tcW w:w="1782" w:type="dxa"/>
            <w:vAlign w:val="center"/>
          </w:tcPr>
          <w:p w14:paraId="32624E14">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rFonts w:hint="eastAsia"/>
                <w:spacing w:val="-1"/>
                <w:sz w:val="21"/>
                <w:szCs w:val="21"/>
              </w:rPr>
              <w:t>单元面积（hm</w:t>
            </w:r>
            <w:r>
              <w:rPr>
                <w:rFonts w:hint="eastAsia"/>
                <w:spacing w:val="-1"/>
                <w:sz w:val="21"/>
                <w:szCs w:val="21"/>
                <w:vertAlign w:val="superscript"/>
                <w:lang w:eastAsia="zh-CN"/>
              </w:rPr>
              <w:t>2</w:t>
            </w:r>
            <w:r>
              <w:rPr>
                <w:rFonts w:hint="eastAsia"/>
                <w:spacing w:val="-1"/>
                <w:sz w:val="21"/>
                <w:szCs w:val="21"/>
              </w:rPr>
              <w:t>）</w:t>
            </w:r>
          </w:p>
        </w:tc>
      </w:tr>
      <w:tr w14:paraId="470FEB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53" w:type="dxa"/>
            <w:vAlign w:val="center"/>
          </w:tcPr>
          <w:p w14:paraId="1F71C91C">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rFonts w:hint="eastAsia"/>
                <w:sz w:val="21"/>
                <w:szCs w:val="21"/>
              </w:rPr>
              <w:t>1</w:t>
            </w:r>
          </w:p>
        </w:tc>
        <w:tc>
          <w:tcPr>
            <w:tcW w:w="2881" w:type="dxa"/>
            <w:vAlign w:val="center"/>
          </w:tcPr>
          <w:p w14:paraId="6B3D0BD7">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rFonts w:hint="eastAsia"/>
                <w:spacing w:val="-1"/>
                <w:sz w:val="21"/>
                <w:szCs w:val="21"/>
              </w:rPr>
              <w:t>P1（</w:t>
            </w:r>
            <w:r>
              <w:rPr>
                <w:rFonts w:hint="eastAsia"/>
                <w:spacing w:val="-1"/>
                <w:sz w:val="21"/>
                <w:szCs w:val="21"/>
                <w:lang w:eastAsia="zh-CN"/>
              </w:rPr>
              <w:t>采矿场地</w:t>
            </w:r>
            <w:r>
              <w:rPr>
                <w:rFonts w:hint="eastAsia"/>
                <w:spacing w:val="-1"/>
                <w:sz w:val="21"/>
                <w:szCs w:val="21"/>
              </w:rPr>
              <w:t>）</w:t>
            </w:r>
          </w:p>
        </w:tc>
        <w:tc>
          <w:tcPr>
            <w:tcW w:w="1504" w:type="dxa"/>
            <w:vAlign w:val="center"/>
          </w:tcPr>
          <w:p w14:paraId="1FFC2913">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rFonts w:hint="eastAsia"/>
                <w:spacing w:val="-4"/>
                <w:sz w:val="21"/>
                <w:szCs w:val="21"/>
              </w:rPr>
              <w:t>挖损</w:t>
            </w:r>
          </w:p>
        </w:tc>
        <w:tc>
          <w:tcPr>
            <w:tcW w:w="1344" w:type="dxa"/>
            <w:vAlign w:val="center"/>
          </w:tcPr>
          <w:p w14:paraId="27C07C05">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rFonts w:hint="eastAsia"/>
                <w:spacing w:val="-4"/>
                <w:sz w:val="21"/>
                <w:szCs w:val="21"/>
              </w:rPr>
              <w:t>重度</w:t>
            </w:r>
          </w:p>
        </w:tc>
        <w:tc>
          <w:tcPr>
            <w:tcW w:w="1782" w:type="dxa"/>
            <w:vAlign w:val="center"/>
          </w:tcPr>
          <w:p w14:paraId="1E62958C">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default"/>
                <w:sz w:val="21"/>
                <w:szCs w:val="21"/>
                <w:lang w:val="en-US" w:eastAsia="zh-CN"/>
              </w:rPr>
            </w:pPr>
            <w:r>
              <w:rPr>
                <w:rFonts w:hint="eastAsia"/>
                <w:spacing w:val="-2"/>
                <w:sz w:val="21"/>
                <w:szCs w:val="21"/>
                <w:lang w:val="en-US" w:eastAsia="zh-CN"/>
              </w:rPr>
              <w:t>100</w:t>
            </w:r>
          </w:p>
        </w:tc>
      </w:tr>
      <w:tr w14:paraId="7AFC61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53" w:type="dxa"/>
            <w:vAlign w:val="center"/>
          </w:tcPr>
          <w:p w14:paraId="48CAB74A">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rFonts w:hint="eastAsia"/>
                <w:sz w:val="21"/>
                <w:szCs w:val="21"/>
              </w:rPr>
              <w:t>2</w:t>
            </w:r>
          </w:p>
        </w:tc>
        <w:tc>
          <w:tcPr>
            <w:tcW w:w="2881" w:type="dxa"/>
            <w:vAlign w:val="center"/>
          </w:tcPr>
          <w:p w14:paraId="23E65C4A">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rFonts w:hint="eastAsia"/>
                <w:spacing w:val="-1"/>
                <w:sz w:val="21"/>
                <w:szCs w:val="21"/>
              </w:rPr>
              <w:t>P2（</w:t>
            </w:r>
            <w:r>
              <w:rPr>
                <w:rFonts w:hint="eastAsia"/>
                <w:spacing w:val="-1"/>
                <w:sz w:val="21"/>
                <w:szCs w:val="21"/>
                <w:lang w:eastAsia="zh-CN"/>
              </w:rPr>
              <w:t>工业场地</w:t>
            </w:r>
            <w:r>
              <w:rPr>
                <w:rFonts w:hint="eastAsia"/>
                <w:spacing w:val="-1"/>
                <w:sz w:val="21"/>
                <w:szCs w:val="21"/>
              </w:rPr>
              <w:t>）</w:t>
            </w:r>
          </w:p>
        </w:tc>
        <w:tc>
          <w:tcPr>
            <w:tcW w:w="1504" w:type="dxa"/>
            <w:vAlign w:val="center"/>
          </w:tcPr>
          <w:p w14:paraId="576F4485">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压占</w:t>
            </w:r>
          </w:p>
        </w:tc>
        <w:tc>
          <w:tcPr>
            <w:tcW w:w="1344" w:type="dxa"/>
            <w:vAlign w:val="center"/>
          </w:tcPr>
          <w:p w14:paraId="62A480A6">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rFonts w:hint="eastAsia"/>
                <w:spacing w:val="-4"/>
                <w:sz w:val="21"/>
                <w:szCs w:val="21"/>
              </w:rPr>
              <w:t>重度</w:t>
            </w:r>
          </w:p>
        </w:tc>
        <w:tc>
          <w:tcPr>
            <w:tcW w:w="1782" w:type="dxa"/>
            <w:vAlign w:val="center"/>
          </w:tcPr>
          <w:p w14:paraId="5BE85471">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default"/>
                <w:sz w:val="21"/>
                <w:szCs w:val="21"/>
                <w:lang w:val="en-US" w:eastAsia="zh-CN"/>
              </w:rPr>
            </w:pPr>
            <w:r>
              <w:rPr>
                <w:rFonts w:hint="eastAsia"/>
                <w:spacing w:val="-2"/>
                <w:sz w:val="21"/>
                <w:szCs w:val="21"/>
                <w:lang w:val="en-US" w:eastAsia="zh-CN"/>
              </w:rPr>
              <w:t>4.23</w:t>
            </w:r>
          </w:p>
        </w:tc>
      </w:tr>
      <w:tr w14:paraId="3B2A73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53" w:type="dxa"/>
            <w:vAlign w:val="center"/>
          </w:tcPr>
          <w:p w14:paraId="08073AFC">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eastAsia="宋体"/>
                <w:sz w:val="21"/>
                <w:szCs w:val="21"/>
                <w:lang w:val="en-US" w:eastAsia="zh-CN"/>
              </w:rPr>
            </w:pPr>
            <w:r>
              <w:rPr>
                <w:rFonts w:hint="eastAsia"/>
                <w:sz w:val="21"/>
                <w:szCs w:val="21"/>
                <w:lang w:val="en-US" w:eastAsia="zh-CN"/>
              </w:rPr>
              <w:t>3</w:t>
            </w:r>
          </w:p>
        </w:tc>
        <w:tc>
          <w:tcPr>
            <w:tcW w:w="2881" w:type="dxa"/>
            <w:vAlign w:val="center"/>
          </w:tcPr>
          <w:p w14:paraId="0D234767">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pacing w:val="-1"/>
                <w:sz w:val="21"/>
                <w:szCs w:val="21"/>
              </w:rPr>
            </w:pPr>
            <w:r>
              <w:rPr>
                <w:rFonts w:hint="eastAsia"/>
                <w:spacing w:val="-1"/>
                <w:sz w:val="21"/>
                <w:szCs w:val="21"/>
                <w:lang w:val="en-US" w:eastAsia="zh-CN"/>
              </w:rPr>
              <w:t>P3</w:t>
            </w:r>
            <w:r>
              <w:rPr>
                <w:rFonts w:hint="eastAsia"/>
                <w:spacing w:val="-1"/>
                <w:sz w:val="21"/>
                <w:szCs w:val="21"/>
                <w:lang w:eastAsia="zh-CN"/>
              </w:rPr>
              <w:t>（矿山道路）</w:t>
            </w:r>
          </w:p>
        </w:tc>
        <w:tc>
          <w:tcPr>
            <w:tcW w:w="1504" w:type="dxa"/>
            <w:vAlign w:val="center"/>
          </w:tcPr>
          <w:p w14:paraId="267506D2">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pacing w:val="-2"/>
                <w:sz w:val="21"/>
                <w:szCs w:val="21"/>
              </w:rPr>
            </w:pPr>
            <w:r>
              <w:rPr>
                <w:rFonts w:hint="eastAsia"/>
                <w:spacing w:val="-4"/>
                <w:sz w:val="21"/>
                <w:szCs w:val="21"/>
              </w:rPr>
              <w:t>挖损</w:t>
            </w:r>
          </w:p>
        </w:tc>
        <w:tc>
          <w:tcPr>
            <w:tcW w:w="1344" w:type="dxa"/>
            <w:vAlign w:val="center"/>
          </w:tcPr>
          <w:p w14:paraId="11D2F583">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pacing w:val="-4"/>
                <w:sz w:val="21"/>
                <w:szCs w:val="21"/>
              </w:rPr>
            </w:pPr>
            <w:r>
              <w:rPr>
                <w:rFonts w:hint="eastAsia"/>
                <w:spacing w:val="-4"/>
                <w:sz w:val="21"/>
                <w:szCs w:val="21"/>
              </w:rPr>
              <w:t>重度</w:t>
            </w:r>
          </w:p>
        </w:tc>
        <w:tc>
          <w:tcPr>
            <w:tcW w:w="1782" w:type="dxa"/>
            <w:vAlign w:val="center"/>
          </w:tcPr>
          <w:p w14:paraId="57D46539">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default"/>
                <w:spacing w:val="-2"/>
                <w:sz w:val="21"/>
                <w:szCs w:val="21"/>
                <w:lang w:val="en-US" w:eastAsia="zh-CN"/>
              </w:rPr>
            </w:pPr>
            <w:r>
              <w:rPr>
                <w:rFonts w:hint="eastAsia"/>
                <w:spacing w:val="-2"/>
                <w:sz w:val="21"/>
                <w:szCs w:val="21"/>
                <w:lang w:val="en-US" w:eastAsia="zh-CN"/>
              </w:rPr>
              <w:t>0.24</w:t>
            </w:r>
          </w:p>
        </w:tc>
      </w:tr>
      <w:tr w14:paraId="2D12EF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53" w:type="dxa"/>
            <w:vAlign w:val="center"/>
          </w:tcPr>
          <w:p w14:paraId="4CD5D67D">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p>
        </w:tc>
        <w:tc>
          <w:tcPr>
            <w:tcW w:w="2881" w:type="dxa"/>
            <w:vAlign w:val="center"/>
          </w:tcPr>
          <w:p w14:paraId="55F7B65A">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sz w:val="21"/>
                <w:szCs w:val="21"/>
              </w:rPr>
            </w:pPr>
            <w:r>
              <w:rPr>
                <w:rFonts w:hint="eastAsia"/>
                <w:spacing w:val="-4"/>
                <w:sz w:val="21"/>
                <w:szCs w:val="21"/>
              </w:rPr>
              <w:t>合计</w:t>
            </w:r>
          </w:p>
        </w:tc>
        <w:tc>
          <w:tcPr>
            <w:tcW w:w="1504" w:type="dxa"/>
            <w:vAlign w:val="center"/>
          </w:tcPr>
          <w:p w14:paraId="1B1B883E">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p>
        </w:tc>
        <w:tc>
          <w:tcPr>
            <w:tcW w:w="1344" w:type="dxa"/>
            <w:vAlign w:val="center"/>
          </w:tcPr>
          <w:p w14:paraId="0A467B6F">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p>
        </w:tc>
        <w:tc>
          <w:tcPr>
            <w:tcW w:w="1782" w:type="dxa"/>
            <w:vAlign w:val="center"/>
          </w:tcPr>
          <w:p w14:paraId="4CF9FAAF">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default"/>
                <w:sz w:val="21"/>
                <w:szCs w:val="21"/>
                <w:lang w:val="en-US" w:eastAsia="zh-CN"/>
              </w:rPr>
            </w:pPr>
            <w:r>
              <w:rPr>
                <w:rFonts w:hint="eastAsia"/>
                <w:spacing w:val="-1"/>
                <w:sz w:val="21"/>
                <w:szCs w:val="21"/>
                <w:lang w:val="en-US" w:eastAsia="zh-CN"/>
              </w:rPr>
              <w:t>104.47</w:t>
            </w:r>
          </w:p>
        </w:tc>
      </w:tr>
    </w:tbl>
    <w:p w14:paraId="4A7ED397">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bookmarkStart w:id="152" w:name="bookmark130"/>
      <w:bookmarkEnd w:id="152"/>
      <w:bookmarkStart w:id="153" w:name="bookmark131"/>
      <w:bookmarkEnd w:id="153"/>
      <w:bookmarkStart w:id="154" w:name="_Toc19152"/>
      <w:r>
        <w:rPr>
          <w:rFonts w:hint="eastAsia" w:ascii="宋体" w:hAnsi="宋体" w:eastAsia="宋体" w:cs="宋体"/>
          <w:sz w:val="28"/>
          <w:szCs w:val="28"/>
          <w:lang w:eastAsia="zh-CN"/>
        </w:rPr>
        <w:t>7、评价体系</w:t>
      </w:r>
      <w:bookmarkEnd w:id="154"/>
    </w:p>
    <w:p w14:paraId="7E88303A">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ascii="宋体" w:hAnsi="宋体" w:eastAsia="宋体" w:cs="宋体"/>
          <w:spacing w:val="6"/>
          <w:sz w:val="28"/>
          <w:szCs w:val="28"/>
          <w:lang w:eastAsia="zh-CN"/>
        </w:rPr>
        <w:t>方案中土地适宜评价采用土地质量等级评价系统；在确定待</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土地的适宜范围内，按土地对农、林、牧的适宜程度、生产潜力的大小、限制性因素及其强度分为三等：</w:t>
      </w:r>
    </w:p>
    <w:p w14:paraId="49AF223F">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⑴</w:t>
      </w:r>
      <w:r>
        <w:rPr>
          <w:rFonts w:ascii="宋体" w:hAnsi="宋体" w:eastAsia="宋体" w:cs="宋体"/>
          <w:spacing w:val="6"/>
          <w:sz w:val="28"/>
          <w:szCs w:val="28"/>
          <w:lang w:eastAsia="zh-CN"/>
        </w:rPr>
        <w:t>宜耕土地</w:t>
      </w:r>
    </w:p>
    <w:p w14:paraId="5EC1AA6B">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①</w:t>
      </w:r>
      <w:r>
        <w:rPr>
          <w:rFonts w:ascii="宋体" w:hAnsi="宋体" w:eastAsia="宋体" w:cs="宋体"/>
          <w:spacing w:val="6"/>
          <w:sz w:val="28"/>
          <w:szCs w:val="28"/>
          <w:lang w:eastAsia="zh-CN"/>
        </w:rPr>
        <w:t>一等地：对农业利用无限制或少限制，地形平坦，质地好，肥力高，适用机耕，损毁轻微，易于恢复为耕地，在正常耕作管理措施下可获较高产量，且正常利用不会发生退化。</w:t>
      </w:r>
    </w:p>
    <w:p w14:paraId="46B3BB6A">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②</w:t>
      </w:r>
      <w:r>
        <w:rPr>
          <w:rFonts w:ascii="宋体" w:hAnsi="宋体" w:eastAsia="宋体" w:cs="宋体"/>
          <w:spacing w:val="6"/>
          <w:sz w:val="28"/>
          <w:szCs w:val="28"/>
          <w:lang w:eastAsia="zh-CN"/>
        </w:rPr>
        <w:t>二等地：对农业利用有一定限制，质地中等，中度损毁，曾经一定整治才能恢复为耕地，如利用不当，会导致土地退化。</w:t>
      </w:r>
    </w:p>
    <w:p w14:paraId="7829A49A">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③</w:t>
      </w:r>
      <w:r>
        <w:rPr>
          <w:rFonts w:ascii="宋体" w:hAnsi="宋体" w:eastAsia="宋体" w:cs="宋体"/>
          <w:spacing w:val="6"/>
          <w:sz w:val="28"/>
          <w:szCs w:val="28"/>
          <w:lang w:eastAsia="zh-CN"/>
        </w:rPr>
        <w:t>三等地：对农业利用有较多限制，质地差，常有退化现象发生，损毁严重，需要大力整治方可恢复为耕地。</w:t>
      </w:r>
    </w:p>
    <w:p w14:paraId="709C92A4">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⑵</w:t>
      </w:r>
      <w:r>
        <w:rPr>
          <w:rFonts w:ascii="宋体" w:hAnsi="宋体" w:eastAsia="宋体" w:cs="宋体"/>
          <w:spacing w:val="6"/>
          <w:sz w:val="28"/>
          <w:szCs w:val="28"/>
          <w:lang w:eastAsia="zh-CN"/>
        </w:rPr>
        <w:t>宜林土地</w:t>
      </w:r>
    </w:p>
    <w:p w14:paraId="41B29098">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bookmarkStart w:id="155" w:name="bookmark267"/>
      <w:bookmarkEnd w:id="155"/>
      <w:r>
        <w:rPr>
          <w:rFonts w:hint="eastAsia" w:ascii="宋体" w:hAnsi="宋体" w:eastAsia="宋体" w:cs="宋体"/>
          <w:spacing w:val="6"/>
          <w:sz w:val="28"/>
          <w:szCs w:val="28"/>
          <w:lang w:eastAsia="zh-CN"/>
        </w:rPr>
        <w:t>①</w:t>
      </w:r>
      <w:r>
        <w:rPr>
          <w:rFonts w:ascii="宋体" w:hAnsi="宋体" w:eastAsia="宋体" w:cs="宋体"/>
          <w:spacing w:val="6"/>
          <w:sz w:val="28"/>
          <w:szCs w:val="28"/>
          <w:lang w:eastAsia="zh-CN"/>
        </w:rPr>
        <w:t>一等地：最适用于林木生产，无明显限制因素，损毁轻微，采用一般技术造林、植树或更新，可获得较高的质量和产量。</w:t>
      </w:r>
    </w:p>
    <w:p w14:paraId="7A61EA29">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②</w:t>
      </w:r>
      <w:r>
        <w:rPr>
          <w:rFonts w:ascii="宋体" w:hAnsi="宋体" w:eastAsia="宋体" w:cs="宋体"/>
          <w:spacing w:val="6"/>
          <w:sz w:val="28"/>
          <w:szCs w:val="28"/>
          <w:lang w:eastAsia="zh-CN"/>
        </w:rPr>
        <w:t>二等地：一般适宜林木生产，地形、土壤和水分等因素有一定限制，中度损毁，造林植树时技术要求较高，质量和产量中等。</w:t>
      </w:r>
    </w:p>
    <w:p w14:paraId="19612A06">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③</w:t>
      </w:r>
      <w:r>
        <w:rPr>
          <w:rFonts w:ascii="宋体" w:hAnsi="宋体" w:eastAsia="宋体" w:cs="宋体"/>
          <w:spacing w:val="6"/>
          <w:sz w:val="28"/>
          <w:szCs w:val="28"/>
          <w:lang w:eastAsia="zh-CN"/>
        </w:rPr>
        <w:t>三等地：林木生长困难，地形、土壤和水分等限制因素较多，损毁严重，造林植树时技术要求较高，质量和产量低等。</w:t>
      </w:r>
    </w:p>
    <w:p w14:paraId="3F95D6DC">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⑶</w:t>
      </w:r>
      <w:r>
        <w:rPr>
          <w:rFonts w:ascii="宋体" w:hAnsi="宋体" w:eastAsia="宋体" w:cs="宋体"/>
          <w:spacing w:val="6"/>
          <w:sz w:val="28"/>
          <w:szCs w:val="28"/>
          <w:lang w:eastAsia="zh-CN"/>
        </w:rPr>
        <w:t>宜草土地</w:t>
      </w:r>
    </w:p>
    <w:p w14:paraId="726095FA">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①</w:t>
      </w:r>
      <w:r>
        <w:rPr>
          <w:rFonts w:ascii="宋体" w:hAnsi="宋体" w:eastAsia="宋体" w:cs="宋体"/>
          <w:spacing w:val="6"/>
          <w:sz w:val="28"/>
          <w:szCs w:val="28"/>
          <w:lang w:eastAsia="zh-CN"/>
        </w:rPr>
        <w:t>一等地：水土条件好，草群质量和产量高，损毁轻微，容易恢复为基本草地。</w:t>
      </w:r>
    </w:p>
    <w:p w14:paraId="7E6692C6">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②</w:t>
      </w:r>
      <w:r>
        <w:rPr>
          <w:rFonts w:ascii="宋体" w:hAnsi="宋体" w:eastAsia="宋体" w:cs="宋体"/>
          <w:spacing w:val="6"/>
          <w:sz w:val="28"/>
          <w:szCs w:val="28"/>
          <w:lang w:eastAsia="zh-CN"/>
        </w:rPr>
        <w:t>二等地：水土条件较好，草群质量和产量中等，有轻度退化，中等损毁，需要经过整治方可利用。</w:t>
      </w:r>
    </w:p>
    <w:p w14:paraId="4019B8FB">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③</w:t>
      </w:r>
      <w:r>
        <w:rPr>
          <w:rFonts w:ascii="宋体" w:hAnsi="宋体" w:eastAsia="宋体" w:cs="宋体"/>
          <w:spacing w:val="6"/>
          <w:sz w:val="28"/>
          <w:szCs w:val="28"/>
          <w:lang w:eastAsia="zh-CN"/>
        </w:rPr>
        <w:t>三等地：水土条件和草群质量差，产量低，退化和损毁严重，需要大力整治方可恢复。</w:t>
      </w:r>
    </w:p>
    <w:p w14:paraId="35DA432F">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bookmarkStart w:id="156" w:name="bookmark132"/>
      <w:bookmarkEnd w:id="156"/>
      <w:bookmarkStart w:id="157" w:name="bookmark133"/>
      <w:bookmarkEnd w:id="157"/>
      <w:bookmarkStart w:id="158" w:name="_Toc25432"/>
      <w:r>
        <w:rPr>
          <w:rFonts w:hint="eastAsia" w:ascii="宋体" w:hAnsi="宋体" w:eastAsia="宋体" w:cs="宋体"/>
          <w:spacing w:val="6"/>
          <w:sz w:val="28"/>
          <w:szCs w:val="28"/>
          <w:lang w:eastAsia="zh-CN"/>
        </w:rPr>
        <w:t>8、评价指标选择和标准的建立</w:t>
      </w:r>
      <w:bookmarkEnd w:id="158"/>
    </w:p>
    <w:p w14:paraId="11503F4A">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⑴</w:t>
      </w:r>
      <w:r>
        <w:rPr>
          <w:rFonts w:ascii="宋体" w:hAnsi="宋体" w:eastAsia="宋体" w:cs="宋体"/>
          <w:spacing w:val="6"/>
          <w:sz w:val="28"/>
          <w:szCs w:val="28"/>
          <w:lang w:eastAsia="zh-CN"/>
        </w:rPr>
        <w:t>评价指标选择</w:t>
      </w:r>
    </w:p>
    <w:p w14:paraId="4E98ABDC">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ascii="宋体" w:hAnsi="宋体" w:eastAsia="宋体" w:cs="宋体"/>
          <w:spacing w:val="6"/>
          <w:sz w:val="28"/>
          <w:szCs w:val="28"/>
          <w:lang w:eastAsia="zh-CN"/>
        </w:rPr>
        <w:t>评价指标的选择应考虑对土地利用影响明显而相对稳定的因素，以便能够通过因素指标值的变动决定土地的适宜状况。评价指标选择的原则如下：</w:t>
      </w:r>
    </w:p>
    <w:p w14:paraId="5205F6AE">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①</w:t>
      </w:r>
      <w:r>
        <w:rPr>
          <w:rFonts w:ascii="宋体" w:hAnsi="宋体" w:eastAsia="宋体" w:cs="宋体"/>
          <w:spacing w:val="6"/>
          <w:sz w:val="28"/>
          <w:szCs w:val="28"/>
          <w:lang w:eastAsia="zh-CN"/>
        </w:rPr>
        <w:t>差异性原则：选择的评价因素能够反映出评价对象不同适宜性等级之间的差异和同一适宜性等级内部的相对一致性，尽量选择一些变化幅度较大，且变化对评价对象的适宜性影响显著的因素。</w:t>
      </w:r>
    </w:p>
    <w:p w14:paraId="49D5504B">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②</w:t>
      </w:r>
      <w:r>
        <w:rPr>
          <w:rFonts w:ascii="宋体" w:hAnsi="宋体" w:eastAsia="宋体" w:cs="宋体"/>
          <w:spacing w:val="6"/>
          <w:sz w:val="28"/>
          <w:szCs w:val="28"/>
          <w:lang w:eastAsia="zh-CN"/>
        </w:rPr>
        <w:t>综合性原则：综合考虑土壤、气候、地貌、生物等多种自然因素、经济条件和种植习惯等社会因素以及土地损毁的类型与程度。</w:t>
      </w:r>
    </w:p>
    <w:p w14:paraId="17763A58">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bookmarkStart w:id="159" w:name="bookmark268"/>
      <w:bookmarkEnd w:id="159"/>
      <w:r>
        <w:rPr>
          <w:rFonts w:hint="eastAsia" w:ascii="宋体" w:hAnsi="宋体" w:eastAsia="宋体" w:cs="宋体"/>
          <w:spacing w:val="6"/>
          <w:sz w:val="28"/>
          <w:szCs w:val="28"/>
          <w:lang w:eastAsia="zh-CN"/>
        </w:rPr>
        <w:t>③</w:t>
      </w:r>
      <w:r>
        <w:rPr>
          <w:rFonts w:ascii="宋体" w:hAnsi="宋体" w:eastAsia="宋体" w:cs="宋体"/>
          <w:spacing w:val="6"/>
          <w:sz w:val="28"/>
          <w:szCs w:val="28"/>
          <w:lang w:eastAsia="zh-CN"/>
        </w:rPr>
        <w:t>主动性原则：</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土地在再利用过程中，限制因素很多，如低洼积水、坡度、排灌条件、裂缝、土壤质地等，其中对土地利用起主导作用的因素称为主导因素，在众多因素中，部分因素是可以通过少量的投入加以改善的，这些因素不属于主导因素。</w:t>
      </w:r>
    </w:p>
    <w:p w14:paraId="2DA9076E">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④</w:t>
      </w:r>
      <w:r>
        <w:rPr>
          <w:rFonts w:ascii="宋体" w:hAnsi="宋体" w:eastAsia="宋体" w:cs="宋体"/>
          <w:spacing w:val="6"/>
          <w:sz w:val="28"/>
          <w:szCs w:val="28"/>
          <w:lang w:eastAsia="zh-CN"/>
        </w:rPr>
        <w:t>定性和定量相结合原则：定量指标具有明确的量级标准，评价因子应尽可能量化，对于难以量化的因子，则给予定性的描述。</w:t>
      </w:r>
    </w:p>
    <w:p w14:paraId="488EC90C">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⑤</w:t>
      </w:r>
      <w:r>
        <w:rPr>
          <w:rFonts w:ascii="宋体" w:hAnsi="宋体" w:eastAsia="宋体" w:cs="宋体"/>
          <w:spacing w:val="6"/>
          <w:sz w:val="28"/>
          <w:szCs w:val="28"/>
          <w:lang w:eastAsia="zh-CN"/>
        </w:rPr>
        <w:t>可操作性原则：建立的评价指标体系应尽可能简明，选取的指标应充分考虑各指标资料获取的可行性和可利用性，既要保证评价成果的质量又要保证可操作性强。</w:t>
      </w:r>
    </w:p>
    <w:p w14:paraId="28C3B324">
      <w:pPr>
        <w:keepNext w:val="0"/>
        <w:keepLines w:val="0"/>
        <w:pageBreakBefore w:val="0"/>
        <w:widowControl w:val="0"/>
        <w:kinsoku/>
        <w:wordWrap/>
        <w:overflowPunct w:val="0"/>
        <w:topLinePunct w:val="0"/>
        <w:autoSpaceDE w:val="0"/>
        <w:autoSpaceDN w:val="0"/>
        <w:bidi w:val="0"/>
        <w:adjustRightInd/>
        <w:snapToGrid/>
        <w:spacing w:line="360" w:lineRule="auto"/>
        <w:ind w:firstLine="584" w:firstLineChars="200"/>
        <w:jc w:val="both"/>
        <w:textAlignment w:val="baseline"/>
        <w:rPr>
          <w:rFonts w:hint="eastAsia" w:ascii="宋体" w:hAnsi="宋体" w:eastAsia="宋体" w:cs="宋体"/>
          <w:spacing w:val="6"/>
          <w:sz w:val="28"/>
          <w:szCs w:val="28"/>
          <w:lang w:eastAsia="zh-CN"/>
        </w:rPr>
      </w:pPr>
      <w:r>
        <w:rPr>
          <w:rFonts w:ascii="宋体" w:hAnsi="宋体" w:eastAsia="宋体" w:cs="宋体"/>
          <w:spacing w:val="6"/>
          <w:sz w:val="28"/>
          <w:szCs w:val="28"/>
          <w:lang w:eastAsia="zh-CN"/>
        </w:rPr>
        <w:t>在遵循以上原则的基础上，结合待评价土地的实际情况和拟损毁土地的预测结果，确定各评价单元的适宜性评价指标。项目涉及的用地类型</w:t>
      </w:r>
      <w:r>
        <w:rPr>
          <w:rFonts w:hint="eastAsia" w:ascii="宋体" w:hAnsi="宋体" w:eastAsia="宋体" w:cs="宋体"/>
          <w:spacing w:val="6"/>
          <w:sz w:val="28"/>
          <w:szCs w:val="28"/>
          <w:lang w:eastAsia="zh-CN"/>
        </w:rPr>
        <w:t>少</w:t>
      </w:r>
      <w:r>
        <w:rPr>
          <w:rFonts w:ascii="宋体" w:hAnsi="宋体" w:eastAsia="宋体" w:cs="宋体"/>
          <w:spacing w:val="6"/>
          <w:sz w:val="28"/>
          <w:szCs w:val="28"/>
          <w:lang w:eastAsia="zh-CN"/>
        </w:rPr>
        <w:t>；因此，</w:t>
      </w:r>
      <w:r>
        <w:rPr>
          <w:rFonts w:hint="eastAsia" w:ascii="宋体" w:hAnsi="宋体" w:eastAsia="宋体" w:cs="宋体"/>
          <w:spacing w:val="6"/>
          <w:sz w:val="28"/>
          <w:szCs w:val="28"/>
          <w:lang w:eastAsia="zh-CN"/>
        </w:rPr>
        <w:t>修复区</w:t>
      </w:r>
      <w:r>
        <w:rPr>
          <w:rFonts w:ascii="宋体" w:hAnsi="宋体" w:eastAsia="宋体" w:cs="宋体"/>
          <w:spacing w:val="6"/>
          <w:sz w:val="28"/>
          <w:szCs w:val="28"/>
          <w:lang w:eastAsia="zh-CN"/>
        </w:rPr>
        <w:t>各评价单元评价指标如下：</w:t>
      </w:r>
    </w:p>
    <w:p w14:paraId="76BC477D">
      <w:pPr>
        <w:keepNext w:val="0"/>
        <w:keepLines w:val="0"/>
        <w:pageBreakBefore w:val="0"/>
        <w:widowControl w:val="0"/>
        <w:kinsoku/>
        <w:wordWrap/>
        <w:overflowPunct w:val="0"/>
        <w:topLinePunct w:val="0"/>
        <w:autoSpaceDE w:val="0"/>
        <w:autoSpaceDN w:val="0"/>
        <w:bidi w:val="0"/>
        <w:adjustRightInd/>
        <w:snapToGrid/>
        <w:spacing w:line="360" w:lineRule="auto"/>
        <w:ind w:firstLine="584" w:firstLineChars="200"/>
        <w:jc w:val="both"/>
        <w:textAlignment w:val="baseline"/>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Ⅰ、</w:t>
      </w:r>
      <w:r>
        <w:rPr>
          <w:rFonts w:ascii="宋体" w:hAnsi="宋体" w:eastAsia="宋体" w:cs="宋体"/>
          <w:spacing w:val="6"/>
          <w:sz w:val="28"/>
          <w:szCs w:val="28"/>
          <w:lang w:eastAsia="zh-CN"/>
        </w:rPr>
        <w:t>P1（</w:t>
      </w:r>
      <w:r>
        <w:rPr>
          <w:rFonts w:hint="eastAsia" w:ascii="宋体" w:hAnsi="宋体" w:eastAsia="宋体" w:cs="宋体"/>
          <w:spacing w:val="6"/>
          <w:sz w:val="28"/>
          <w:szCs w:val="28"/>
          <w:lang w:eastAsia="zh-CN"/>
        </w:rPr>
        <w:t>采矿场地</w:t>
      </w:r>
      <w:r>
        <w:rPr>
          <w:rFonts w:ascii="宋体" w:hAnsi="宋体" w:eastAsia="宋体" w:cs="宋体"/>
          <w:spacing w:val="6"/>
          <w:sz w:val="28"/>
          <w:szCs w:val="28"/>
          <w:lang w:eastAsia="zh-CN"/>
        </w:rPr>
        <w:t>）：坡度(°)、地表物质组成、有无水源保证、土源保证率(﹪);</w:t>
      </w:r>
    </w:p>
    <w:p w14:paraId="300F7754">
      <w:pPr>
        <w:keepNext w:val="0"/>
        <w:keepLines w:val="0"/>
        <w:pageBreakBefore w:val="0"/>
        <w:widowControl w:val="0"/>
        <w:kinsoku/>
        <w:wordWrap/>
        <w:overflowPunct w:val="0"/>
        <w:topLinePunct w:val="0"/>
        <w:autoSpaceDE w:val="0"/>
        <w:autoSpaceDN w:val="0"/>
        <w:bidi w:val="0"/>
        <w:adjustRightInd/>
        <w:snapToGrid/>
        <w:spacing w:line="360" w:lineRule="auto"/>
        <w:ind w:firstLine="584" w:firstLineChars="200"/>
        <w:jc w:val="both"/>
        <w:textAlignment w:val="baseline"/>
        <w:rPr>
          <w:rFonts w:ascii="宋体" w:hAnsi="宋体" w:eastAsia="宋体" w:cs="宋体"/>
          <w:spacing w:val="6"/>
          <w:sz w:val="28"/>
          <w:szCs w:val="28"/>
          <w:lang w:eastAsia="zh-CN"/>
        </w:rPr>
      </w:pPr>
      <w:r>
        <w:rPr>
          <w:rFonts w:hint="eastAsia" w:ascii="宋体" w:hAnsi="宋体" w:eastAsia="宋体" w:cs="宋体"/>
          <w:spacing w:val="6"/>
          <w:sz w:val="28"/>
          <w:szCs w:val="28"/>
          <w:lang w:eastAsia="zh-CN"/>
        </w:rPr>
        <w:t>Ⅱ、</w:t>
      </w:r>
      <w:r>
        <w:rPr>
          <w:rFonts w:ascii="宋体" w:hAnsi="宋体" w:eastAsia="宋体" w:cs="宋体"/>
          <w:spacing w:val="6"/>
          <w:sz w:val="28"/>
          <w:szCs w:val="28"/>
          <w:lang w:eastAsia="zh-CN"/>
        </w:rPr>
        <w:t>P2（</w:t>
      </w:r>
      <w:r>
        <w:rPr>
          <w:rFonts w:hint="eastAsia" w:ascii="宋体" w:hAnsi="宋体" w:eastAsia="宋体" w:cs="宋体"/>
          <w:spacing w:val="6"/>
          <w:sz w:val="28"/>
          <w:szCs w:val="28"/>
          <w:lang w:eastAsia="zh-CN"/>
        </w:rPr>
        <w:t>工业场地</w:t>
      </w:r>
      <w:r>
        <w:rPr>
          <w:rFonts w:ascii="宋体" w:hAnsi="宋体" w:eastAsia="宋体" w:cs="宋体"/>
          <w:spacing w:val="6"/>
          <w:sz w:val="28"/>
          <w:szCs w:val="28"/>
          <w:lang w:eastAsia="zh-CN"/>
        </w:rPr>
        <w:t>）：坡度(°)、地表物质组成、有无水源保证、土源保证率(﹪);</w:t>
      </w:r>
    </w:p>
    <w:p w14:paraId="2B16F495">
      <w:pPr>
        <w:keepNext w:val="0"/>
        <w:keepLines w:val="0"/>
        <w:pageBreakBefore w:val="0"/>
        <w:widowControl w:val="0"/>
        <w:kinsoku/>
        <w:wordWrap/>
        <w:overflowPunct w:val="0"/>
        <w:topLinePunct w:val="0"/>
        <w:autoSpaceDE w:val="0"/>
        <w:autoSpaceDN w:val="0"/>
        <w:bidi w:val="0"/>
        <w:adjustRightInd/>
        <w:snapToGrid/>
        <w:spacing w:line="360" w:lineRule="auto"/>
        <w:ind w:firstLine="584" w:firstLineChars="200"/>
        <w:jc w:val="both"/>
        <w:textAlignment w:val="baseline"/>
        <w:rPr>
          <w:rFonts w:ascii="宋体" w:hAnsi="宋体" w:eastAsia="宋体" w:cs="宋体"/>
          <w:spacing w:val="6"/>
          <w:sz w:val="28"/>
          <w:szCs w:val="28"/>
          <w:lang w:eastAsia="zh-CN"/>
        </w:rPr>
      </w:pPr>
      <w:r>
        <w:rPr>
          <w:rFonts w:hint="eastAsia" w:ascii="宋体" w:hAnsi="宋体" w:eastAsia="宋体" w:cs="宋体"/>
          <w:spacing w:val="6"/>
          <w:sz w:val="28"/>
          <w:szCs w:val="28"/>
          <w:lang w:eastAsia="zh-CN"/>
        </w:rPr>
        <w:t>Ⅲ、</w:t>
      </w:r>
      <w:r>
        <w:rPr>
          <w:rFonts w:hint="eastAsia" w:ascii="宋体" w:hAnsi="宋体" w:eastAsia="宋体" w:cs="宋体"/>
          <w:spacing w:val="6"/>
          <w:sz w:val="28"/>
          <w:szCs w:val="28"/>
          <w:lang w:val="en-US" w:eastAsia="zh-CN"/>
        </w:rPr>
        <w:t>P3(矿山道路）</w:t>
      </w:r>
      <w:r>
        <w:rPr>
          <w:rFonts w:ascii="宋体" w:hAnsi="宋体" w:eastAsia="宋体" w:cs="宋体"/>
          <w:spacing w:val="6"/>
          <w:sz w:val="28"/>
          <w:szCs w:val="28"/>
          <w:lang w:eastAsia="zh-CN"/>
        </w:rPr>
        <w:t>：坡度(°)、地表物质组成、有无水源保证、土源保证率(﹪);</w:t>
      </w:r>
    </w:p>
    <w:p w14:paraId="76558F51">
      <w:pPr>
        <w:keepNext w:val="0"/>
        <w:keepLines w:val="0"/>
        <w:pageBreakBefore w:val="0"/>
        <w:widowControl w:val="0"/>
        <w:kinsoku/>
        <w:wordWrap/>
        <w:overflowPunct w:val="0"/>
        <w:topLinePunct w:val="0"/>
        <w:autoSpaceDE w:val="0"/>
        <w:autoSpaceDN w:val="0"/>
        <w:bidi w:val="0"/>
        <w:adjustRightInd/>
        <w:snapToGrid/>
        <w:spacing w:line="360" w:lineRule="auto"/>
        <w:ind w:firstLine="584" w:firstLineChars="200"/>
        <w:jc w:val="both"/>
        <w:textAlignment w:val="baseline"/>
        <w:rPr>
          <w:rFonts w:hint="eastAsia" w:ascii="宋体" w:hAnsi="宋体" w:eastAsia="宋体" w:cs="宋体"/>
          <w:spacing w:val="6"/>
          <w:sz w:val="28"/>
          <w:szCs w:val="28"/>
          <w:lang w:eastAsia="zh-CN"/>
        </w:rPr>
      </w:pPr>
      <w:r>
        <w:rPr>
          <w:rFonts w:ascii="宋体" w:hAnsi="宋体" w:eastAsia="宋体" w:cs="宋体"/>
          <w:spacing w:val="6"/>
          <w:sz w:val="28"/>
          <w:szCs w:val="28"/>
          <w:lang w:eastAsia="zh-CN"/>
        </w:rPr>
        <w:t>坡度(°)、地表物质组成、有无水源保证、土源保证率(﹪)</w:t>
      </w:r>
    </w:p>
    <w:p w14:paraId="04830532">
      <w:pPr>
        <w:keepNext w:val="0"/>
        <w:keepLines w:val="0"/>
        <w:pageBreakBefore w:val="0"/>
        <w:widowControl w:val="0"/>
        <w:kinsoku/>
        <w:wordWrap/>
        <w:overflowPunct w:val="0"/>
        <w:topLinePunct w:val="0"/>
        <w:autoSpaceDE w:val="0"/>
        <w:autoSpaceDN w:val="0"/>
        <w:bidi w:val="0"/>
        <w:adjustRightInd/>
        <w:snapToGrid/>
        <w:spacing w:line="360" w:lineRule="auto"/>
        <w:ind w:firstLine="584" w:firstLineChars="200"/>
        <w:jc w:val="both"/>
        <w:textAlignment w:val="baseline"/>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⑵</w:t>
      </w:r>
      <w:r>
        <w:rPr>
          <w:rFonts w:ascii="宋体" w:hAnsi="宋体" w:eastAsia="宋体" w:cs="宋体"/>
          <w:spacing w:val="6"/>
          <w:sz w:val="28"/>
          <w:szCs w:val="28"/>
          <w:lang w:eastAsia="zh-CN"/>
        </w:rPr>
        <w:t>评价因素等级标准的确定</w:t>
      </w:r>
    </w:p>
    <w:p w14:paraId="316B10CD">
      <w:pPr>
        <w:keepNext w:val="0"/>
        <w:keepLines w:val="0"/>
        <w:pageBreakBefore w:val="0"/>
        <w:widowControl w:val="0"/>
        <w:kinsoku/>
        <w:wordWrap/>
        <w:overflowPunct w:val="0"/>
        <w:topLinePunct w:val="0"/>
        <w:autoSpaceDE w:val="0"/>
        <w:autoSpaceDN w:val="0"/>
        <w:bidi w:val="0"/>
        <w:adjustRightInd/>
        <w:snapToGrid/>
        <w:spacing w:line="360" w:lineRule="auto"/>
        <w:ind w:firstLine="584" w:firstLineChars="200"/>
        <w:jc w:val="both"/>
        <w:textAlignment w:val="baseline"/>
        <w:rPr>
          <w:rFonts w:hint="eastAsia" w:ascii="宋体" w:hAnsi="宋体" w:eastAsia="宋体" w:cs="宋体"/>
          <w:spacing w:val="6"/>
          <w:sz w:val="28"/>
          <w:szCs w:val="28"/>
          <w:lang w:eastAsia="zh-CN"/>
        </w:rPr>
      </w:pPr>
      <w:r>
        <w:rPr>
          <w:rFonts w:ascii="宋体" w:hAnsi="宋体" w:eastAsia="宋体" w:cs="宋体"/>
          <w:spacing w:val="6"/>
          <w:sz w:val="28"/>
          <w:szCs w:val="28"/>
          <w:lang w:eastAsia="zh-CN"/>
        </w:rPr>
        <w:t>根据国家及地方的相关规程、标准及各级地方主管部门的相关标准，结合矿区的实际情况和土地破坏预测的结果，确定各评价单元的</w:t>
      </w:r>
      <w:r>
        <w:rPr>
          <w:rFonts w:hint="eastAsia" w:ascii="宋体" w:hAnsi="宋体" w:eastAsia="宋体" w:cs="宋体"/>
          <w:spacing w:val="6"/>
          <w:sz w:val="28"/>
          <w:szCs w:val="28"/>
          <w:lang w:eastAsia="zh-CN"/>
        </w:rPr>
        <w:t>可行</w:t>
      </w:r>
      <w:r>
        <w:rPr>
          <w:rFonts w:ascii="宋体" w:hAnsi="宋体" w:eastAsia="宋体" w:cs="宋体"/>
          <w:spacing w:val="6"/>
          <w:sz w:val="28"/>
          <w:szCs w:val="28"/>
          <w:lang w:eastAsia="zh-CN"/>
        </w:rPr>
        <w:t>性指标，由于矿区矿石属于不具有浸出毒性和不具有腐蚀性的第Ⅰ类一般工业固体废物，所以污染指标不予考虑；在各评价所选评价因子基础上制定</w:t>
      </w:r>
      <w:r>
        <w:rPr>
          <w:rFonts w:hint="eastAsia" w:ascii="宋体" w:hAnsi="宋体" w:eastAsia="宋体" w:cs="宋体"/>
          <w:spacing w:val="6"/>
          <w:sz w:val="28"/>
          <w:szCs w:val="28"/>
          <w:lang w:eastAsia="zh-CN"/>
        </w:rPr>
        <w:t>可行</w:t>
      </w:r>
      <w:r>
        <w:rPr>
          <w:rFonts w:ascii="宋体" w:hAnsi="宋体" w:eastAsia="宋体" w:cs="宋体"/>
          <w:spacing w:val="6"/>
          <w:sz w:val="28"/>
          <w:szCs w:val="28"/>
          <w:lang w:eastAsia="zh-CN"/>
        </w:rPr>
        <w:t>性评价体系标准（见表</w:t>
      </w:r>
      <w:r>
        <w:rPr>
          <w:rFonts w:hint="eastAsia" w:ascii="宋体" w:hAnsi="宋体" w:eastAsia="宋体" w:cs="宋体"/>
          <w:spacing w:val="6"/>
          <w:sz w:val="28"/>
          <w:szCs w:val="28"/>
          <w:lang w:eastAsia="zh-CN"/>
        </w:rPr>
        <w:t>3-15</w:t>
      </w:r>
      <w:r>
        <w:rPr>
          <w:rFonts w:ascii="宋体" w:hAnsi="宋体" w:eastAsia="宋体" w:cs="宋体"/>
          <w:spacing w:val="6"/>
          <w:sz w:val="28"/>
          <w:szCs w:val="28"/>
          <w:lang w:eastAsia="zh-CN"/>
        </w:rPr>
        <w:t>）。</w:t>
      </w:r>
    </w:p>
    <w:p w14:paraId="0F4144EF">
      <w:pPr>
        <w:widowControl w:val="0"/>
        <w:kinsoku/>
        <w:adjustRightInd/>
        <w:snapToGrid/>
        <w:jc w:val="center"/>
        <w:rPr>
          <w:rFonts w:hint="eastAsia" w:ascii="宋体" w:hAnsi="宋体" w:eastAsia="宋体" w:cs="宋体"/>
          <w:lang w:eastAsia="zh-CN"/>
        </w:rPr>
      </w:pPr>
      <w:r>
        <w:rPr>
          <w:rFonts w:ascii="宋体" w:hAnsi="宋体" w:eastAsia="宋体" w:cs="宋体"/>
          <w:b/>
          <w:bCs/>
          <w:spacing w:val="-2"/>
          <w:lang w:eastAsia="zh-CN"/>
        </w:rPr>
        <w:t>表</w:t>
      </w:r>
      <w:r>
        <w:rPr>
          <w:rFonts w:hint="eastAsia" w:ascii="宋体" w:hAnsi="宋体" w:eastAsia="宋体" w:cs="宋体"/>
          <w:b/>
          <w:bCs/>
          <w:spacing w:val="-2"/>
          <w:lang w:eastAsia="zh-CN"/>
        </w:rPr>
        <w:t>3-15  修复</w:t>
      </w:r>
      <w:r>
        <w:rPr>
          <w:rFonts w:ascii="宋体" w:hAnsi="宋体" w:eastAsia="宋体" w:cs="宋体"/>
          <w:b/>
          <w:bCs/>
          <w:spacing w:val="-2"/>
          <w:lang w:eastAsia="zh-CN"/>
        </w:rPr>
        <w:t>土地主要限制因素的农林牧业等级标准</w:t>
      </w:r>
    </w:p>
    <w:tbl>
      <w:tblPr>
        <w:tblStyle w:val="22"/>
        <w:tblW w:w="8246"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9"/>
        <w:gridCol w:w="1000"/>
        <w:gridCol w:w="3494"/>
        <w:gridCol w:w="1033"/>
        <w:gridCol w:w="1103"/>
        <w:gridCol w:w="1057"/>
      </w:tblGrid>
      <w:tr w14:paraId="6ADC3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59" w:type="dxa"/>
            <w:vAlign w:val="center"/>
          </w:tcPr>
          <w:p w14:paraId="55FE2F02">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序号</w:t>
            </w:r>
          </w:p>
        </w:tc>
        <w:tc>
          <w:tcPr>
            <w:tcW w:w="4494" w:type="dxa"/>
            <w:gridSpan w:val="2"/>
            <w:vAlign w:val="center"/>
          </w:tcPr>
          <w:p w14:paraId="135E43AF">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3"/>
                <w:sz w:val="21"/>
                <w:szCs w:val="21"/>
              </w:rPr>
              <w:t>限制因素及分级指标</w:t>
            </w:r>
          </w:p>
        </w:tc>
        <w:tc>
          <w:tcPr>
            <w:tcW w:w="1033" w:type="dxa"/>
            <w:vAlign w:val="center"/>
          </w:tcPr>
          <w:p w14:paraId="22574FE4">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耕地评价</w:t>
            </w:r>
          </w:p>
        </w:tc>
        <w:tc>
          <w:tcPr>
            <w:tcW w:w="1103" w:type="dxa"/>
            <w:vAlign w:val="center"/>
          </w:tcPr>
          <w:p w14:paraId="0AA0A3F7">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林地评价</w:t>
            </w:r>
          </w:p>
        </w:tc>
        <w:tc>
          <w:tcPr>
            <w:tcW w:w="1057" w:type="dxa"/>
            <w:vAlign w:val="center"/>
          </w:tcPr>
          <w:p w14:paraId="4FBEEECE">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3"/>
                <w:sz w:val="21"/>
                <w:szCs w:val="21"/>
              </w:rPr>
              <w:t>草地评价</w:t>
            </w:r>
          </w:p>
        </w:tc>
      </w:tr>
      <w:tr w14:paraId="74DB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59" w:type="dxa"/>
            <w:vMerge w:val="restart"/>
            <w:vAlign w:val="center"/>
          </w:tcPr>
          <w:p w14:paraId="1D59049D">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z w:val="21"/>
                <w:szCs w:val="21"/>
              </w:rPr>
              <w:t>1</w:t>
            </w:r>
          </w:p>
        </w:tc>
        <w:tc>
          <w:tcPr>
            <w:tcW w:w="1000" w:type="dxa"/>
            <w:vMerge w:val="restart"/>
            <w:vAlign w:val="center"/>
          </w:tcPr>
          <w:p w14:paraId="7B12CC54">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3"/>
                <w:sz w:val="21"/>
                <w:szCs w:val="21"/>
              </w:rPr>
              <w:t>地表物质组成</w:t>
            </w:r>
          </w:p>
        </w:tc>
        <w:tc>
          <w:tcPr>
            <w:tcW w:w="3494" w:type="dxa"/>
            <w:vAlign w:val="center"/>
          </w:tcPr>
          <w:p w14:paraId="1B35B5CB">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壤土、砂壤土</w:t>
            </w:r>
          </w:p>
        </w:tc>
        <w:tc>
          <w:tcPr>
            <w:tcW w:w="1033" w:type="dxa"/>
            <w:vAlign w:val="center"/>
          </w:tcPr>
          <w:p w14:paraId="768BE936">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c>
          <w:tcPr>
            <w:tcW w:w="1103" w:type="dxa"/>
            <w:vAlign w:val="center"/>
          </w:tcPr>
          <w:p w14:paraId="707EACDB">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c>
          <w:tcPr>
            <w:tcW w:w="1057" w:type="dxa"/>
            <w:vAlign w:val="center"/>
          </w:tcPr>
          <w:p w14:paraId="46BA51A8">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r>
      <w:tr w14:paraId="0F581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559" w:type="dxa"/>
            <w:vMerge w:val="continue"/>
            <w:vAlign w:val="center"/>
          </w:tcPr>
          <w:p w14:paraId="2351F42B">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000" w:type="dxa"/>
            <w:vMerge w:val="continue"/>
            <w:vAlign w:val="center"/>
          </w:tcPr>
          <w:p w14:paraId="1A10CCFF">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3494" w:type="dxa"/>
            <w:vAlign w:val="center"/>
          </w:tcPr>
          <w:p w14:paraId="11950F08">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岩土混合物</w:t>
            </w:r>
          </w:p>
        </w:tc>
        <w:tc>
          <w:tcPr>
            <w:tcW w:w="1033" w:type="dxa"/>
            <w:vAlign w:val="center"/>
          </w:tcPr>
          <w:p w14:paraId="1E6E68D2">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1103" w:type="dxa"/>
            <w:vAlign w:val="center"/>
          </w:tcPr>
          <w:p w14:paraId="0CB7FBA3">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2等</w:t>
            </w:r>
          </w:p>
        </w:tc>
        <w:tc>
          <w:tcPr>
            <w:tcW w:w="1057" w:type="dxa"/>
            <w:vAlign w:val="center"/>
          </w:tcPr>
          <w:p w14:paraId="093D4A4D">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2等</w:t>
            </w:r>
          </w:p>
        </w:tc>
      </w:tr>
      <w:tr w14:paraId="458BE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559" w:type="dxa"/>
            <w:vMerge w:val="continue"/>
            <w:vAlign w:val="center"/>
          </w:tcPr>
          <w:p w14:paraId="410F03B8">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000" w:type="dxa"/>
            <w:vMerge w:val="continue"/>
            <w:vAlign w:val="center"/>
          </w:tcPr>
          <w:p w14:paraId="780E8374">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3494" w:type="dxa"/>
            <w:vAlign w:val="center"/>
          </w:tcPr>
          <w:p w14:paraId="5FD602A2">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砂土</w:t>
            </w:r>
          </w:p>
        </w:tc>
        <w:tc>
          <w:tcPr>
            <w:tcW w:w="1033" w:type="dxa"/>
            <w:vAlign w:val="center"/>
          </w:tcPr>
          <w:p w14:paraId="302FE6AE">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1103" w:type="dxa"/>
            <w:vAlign w:val="center"/>
          </w:tcPr>
          <w:p w14:paraId="38B17548">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1057" w:type="dxa"/>
            <w:vAlign w:val="center"/>
          </w:tcPr>
          <w:p w14:paraId="0AED1D5B">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r>
      <w:tr w14:paraId="7055F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59" w:type="dxa"/>
            <w:vMerge w:val="continue"/>
            <w:vAlign w:val="center"/>
          </w:tcPr>
          <w:p w14:paraId="2389AB3E">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000" w:type="dxa"/>
            <w:vMerge w:val="continue"/>
            <w:vAlign w:val="center"/>
          </w:tcPr>
          <w:p w14:paraId="737B37E5">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3494" w:type="dxa"/>
            <w:vAlign w:val="center"/>
          </w:tcPr>
          <w:p w14:paraId="591C4C3E">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砾质</w:t>
            </w:r>
          </w:p>
        </w:tc>
        <w:tc>
          <w:tcPr>
            <w:tcW w:w="1033" w:type="dxa"/>
            <w:vAlign w:val="center"/>
          </w:tcPr>
          <w:p w14:paraId="2DA5D0B3">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z w:val="21"/>
                <w:szCs w:val="21"/>
              </w:rPr>
              <w:t>N</w:t>
            </w:r>
          </w:p>
        </w:tc>
        <w:tc>
          <w:tcPr>
            <w:tcW w:w="1103" w:type="dxa"/>
            <w:vAlign w:val="center"/>
          </w:tcPr>
          <w:p w14:paraId="4D442543">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3等或N</w:t>
            </w:r>
          </w:p>
        </w:tc>
        <w:tc>
          <w:tcPr>
            <w:tcW w:w="1057" w:type="dxa"/>
            <w:vAlign w:val="center"/>
          </w:tcPr>
          <w:p w14:paraId="4A566B0F">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z w:val="21"/>
                <w:szCs w:val="21"/>
              </w:rPr>
              <w:t>N</w:t>
            </w:r>
          </w:p>
        </w:tc>
      </w:tr>
      <w:tr w14:paraId="478F8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59" w:type="dxa"/>
            <w:vMerge w:val="restart"/>
            <w:vAlign w:val="center"/>
          </w:tcPr>
          <w:p w14:paraId="2C232C11">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z w:val="21"/>
                <w:szCs w:val="21"/>
              </w:rPr>
              <w:t>2</w:t>
            </w:r>
          </w:p>
        </w:tc>
        <w:tc>
          <w:tcPr>
            <w:tcW w:w="1000" w:type="dxa"/>
            <w:vMerge w:val="restart"/>
            <w:vAlign w:val="center"/>
          </w:tcPr>
          <w:p w14:paraId="5C5E50C8">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灌溉条</w:t>
            </w:r>
            <w:r>
              <w:rPr>
                <w:rFonts w:hint="eastAsia" w:ascii="宋体" w:hAnsi="宋体" w:eastAsia="宋体" w:cs="宋体"/>
                <w:sz w:val="21"/>
                <w:szCs w:val="21"/>
              </w:rPr>
              <w:t>件</w:t>
            </w:r>
          </w:p>
        </w:tc>
        <w:tc>
          <w:tcPr>
            <w:tcW w:w="3494" w:type="dxa"/>
            <w:vAlign w:val="center"/>
          </w:tcPr>
          <w:p w14:paraId="294DE2DF">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lang w:eastAsia="zh-CN"/>
              </w:rPr>
            </w:pPr>
            <w:r>
              <w:rPr>
                <w:rFonts w:hint="eastAsia" w:ascii="宋体" w:hAnsi="宋体" w:eastAsia="宋体" w:cs="宋体"/>
                <w:spacing w:val="-1"/>
                <w:sz w:val="21"/>
                <w:szCs w:val="21"/>
                <w:lang w:eastAsia="zh-CN"/>
              </w:rPr>
              <w:t>有稳定灌溉条件的干旱、半干旱土地</w:t>
            </w:r>
          </w:p>
        </w:tc>
        <w:tc>
          <w:tcPr>
            <w:tcW w:w="1033" w:type="dxa"/>
            <w:vAlign w:val="center"/>
          </w:tcPr>
          <w:p w14:paraId="2C05532A">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c>
          <w:tcPr>
            <w:tcW w:w="1103" w:type="dxa"/>
            <w:vAlign w:val="center"/>
          </w:tcPr>
          <w:p w14:paraId="6354370A">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c>
          <w:tcPr>
            <w:tcW w:w="1057" w:type="dxa"/>
            <w:vAlign w:val="center"/>
          </w:tcPr>
          <w:p w14:paraId="30D07118">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r>
      <w:tr w14:paraId="4805E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59" w:type="dxa"/>
            <w:vMerge w:val="continue"/>
            <w:vAlign w:val="center"/>
          </w:tcPr>
          <w:p w14:paraId="681D371C">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000" w:type="dxa"/>
            <w:vMerge w:val="continue"/>
            <w:vAlign w:val="center"/>
          </w:tcPr>
          <w:p w14:paraId="43D8176C">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3494" w:type="dxa"/>
            <w:vAlign w:val="center"/>
          </w:tcPr>
          <w:p w14:paraId="54075370">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lang w:eastAsia="zh-CN"/>
              </w:rPr>
            </w:pPr>
            <w:r>
              <w:rPr>
                <w:rFonts w:hint="eastAsia" w:ascii="宋体" w:hAnsi="宋体" w:eastAsia="宋体" w:cs="宋体"/>
                <w:spacing w:val="-1"/>
                <w:sz w:val="21"/>
                <w:szCs w:val="21"/>
                <w:lang w:eastAsia="zh-CN"/>
              </w:rPr>
              <w:t>灌溉条件、水源保证差的干旱、半干旱土地</w:t>
            </w:r>
          </w:p>
        </w:tc>
        <w:tc>
          <w:tcPr>
            <w:tcW w:w="1033" w:type="dxa"/>
            <w:vAlign w:val="center"/>
          </w:tcPr>
          <w:p w14:paraId="3818DB49">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2等</w:t>
            </w:r>
          </w:p>
        </w:tc>
        <w:tc>
          <w:tcPr>
            <w:tcW w:w="1103" w:type="dxa"/>
            <w:vAlign w:val="center"/>
          </w:tcPr>
          <w:p w14:paraId="2CA15311">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1等或2等</w:t>
            </w:r>
          </w:p>
        </w:tc>
        <w:tc>
          <w:tcPr>
            <w:tcW w:w="1057" w:type="dxa"/>
            <w:vAlign w:val="center"/>
          </w:tcPr>
          <w:p w14:paraId="43FC7AF5">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8"/>
                <w:sz w:val="21"/>
                <w:szCs w:val="21"/>
              </w:rPr>
              <w:t>1等或2等</w:t>
            </w:r>
          </w:p>
        </w:tc>
      </w:tr>
      <w:tr w14:paraId="5D3FD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59" w:type="dxa"/>
            <w:vMerge w:val="continue"/>
            <w:vAlign w:val="center"/>
          </w:tcPr>
          <w:p w14:paraId="24ED895E">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000" w:type="dxa"/>
            <w:vMerge w:val="continue"/>
            <w:vAlign w:val="center"/>
          </w:tcPr>
          <w:p w14:paraId="47BB9BD0">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3494" w:type="dxa"/>
            <w:vAlign w:val="center"/>
          </w:tcPr>
          <w:p w14:paraId="03554B0A">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lang w:eastAsia="zh-CN"/>
              </w:rPr>
            </w:pPr>
            <w:r>
              <w:rPr>
                <w:rFonts w:hint="eastAsia" w:ascii="宋体" w:hAnsi="宋体" w:eastAsia="宋体" w:cs="宋体"/>
                <w:spacing w:val="-1"/>
                <w:sz w:val="21"/>
                <w:szCs w:val="21"/>
                <w:lang w:eastAsia="zh-CN"/>
              </w:rPr>
              <w:t>无灌溉水源保证干旱、半干旱土地</w:t>
            </w:r>
          </w:p>
        </w:tc>
        <w:tc>
          <w:tcPr>
            <w:tcW w:w="1033" w:type="dxa"/>
            <w:vAlign w:val="center"/>
          </w:tcPr>
          <w:p w14:paraId="7A2C7541">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z w:val="21"/>
                <w:szCs w:val="21"/>
              </w:rPr>
              <w:t>N</w:t>
            </w:r>
          </w:p>
        </w:tc>
        <w:tc>
          <w:tcPr>
            <w:tcW w:w="1103" w:type="dxa"/>
            <w:vAlign w:val="center"/>
          </w:tcPr>
          <w:p w14:paraId="169B286B">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1057" w:type="dxa"/>
            <w:vAlign w:val="center"/>
          </w:tcPr>
          <w:p w14:paraId="596A4758">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r>
      <w:tr w14:paraId="088C9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 w:hRule="atLeast"/>
        </w:trPr>
        <w:tc>
          <w:tcPr>
            <w:tcW w:w="559" w:type="dxa"/>
            <w:vMerge w:val="restart"/>
            <w:vAlign w:val="center"/>
          </w:tcPr>
          <w:p w14:paraId="75217760">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z w:val="21"/>
                <w:szCs w:val="21"/>
              </w:rPr>
              <w:t>3</w:t>
            </w:r>
          </w:p>
        </w:tc>
        <w:tc>
          <w:tcPr>
            <w:tcW w:w="1000" w:type="dxa"/>
            <w:vMerge w:val="restart"/>
            <w:vAlign w:val="center"/>
          </w:tcPr>
          <w:p w14:paraId="1FEDA174">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3"/>
                <w:sz w:val="21"/>
                <w:szCs w:val="21"/>
              </w:rPr>
              <w:t>地面坡</w:t>
            </w:r>
            <w:r>
              <w:rPr>
                <w:rFonts w:hint="eastAsia" w:ascii="宋体" w:hAnsi="宋体" w:eastAsia="宋体" w:cs="宋体"/>
                <w:sz w:val="21"/>
                <w:szCs w:val="21"/>
              </w:rPr>
              <w:t>度</w:t>
            </w:r>
          </w:p>
        </w:tc>
        <w:tc>
          <w:tcPr>
            <w:tcW w:w="3494" w:type="dxa"/>
            <w:vAlign w:val="center"/>
          </w:tcPr>
          <w:p w14:paraId="7A57911D">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&lt;5。</w:t>
            </w:r>
          </w:p>
        </w:tc>
        <w:tc>
          <w:tcPr>
            <w:tcW w:w="1033" w:type="dxa"/>
            <w:vAlign w:val="center"/>
          </w:tcPr>
          <w:p w14:paraId="0C670BA9">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c>
          <w:tcPr>
            <w:tcW w:w="1103" w:type="dxa"/>
            <w:vAlign w:val="center"/>
          </w:tcPr>
          <w:p w14:paraId="68370B43">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c>
          <w:tcPr>
            <w:tcW w:w="1057" w:type="dxa"/>
            <w:vAlign w:val="center"/>
          </w:tcPr>
          <w:p w14:paraId="22B80460">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r>
      <w:tr w14:paraId="211F1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59" w:type="dxa"/>
            <w:vMerge w:val="continue"/>
            <w:vAlign w:val="center"/>
          </w:tcPr>
          <w:p w14:paraId="141A1F8F">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000" w:type="dxa"/>
            <w:vMerge w:val="continue"/>
            <w:vAlign w:val="center"/>
          </w:tcPr>
          <w:p w14:paraId="49396553">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3494" w:type="dxa"/>
            <w:vAlign w:val="center"/>
          </w:tcPr>
          <w:p w14:paraId="39F0F9B8">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20"/>
                <w:sz w:val="21"/>
                <w:szCs w:val="21"/>
              </w:rPr>
              <w:t>5。～25。</w:t>
            </w:r>
          </w:p>
        </w:tc>
        <w:tc>
          <w:tcPr>
            <w:tcW w:w="1033" w:type="dxa"/>
            <w:vAlign w:val="center"/>
          </w:tcPr>
          <w:p w14:paraId="6CA8D624">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2等</w:t>
            </w:r>
          </w:p>
        </w:tc>
        <w:tc>
          <w:tcPr>
            <w:tcW w:w="1103" w:type="dxa"/>
            <w:vAlign w:val="center"/>
          </w:tcPr>
          <w:p w14:paraId="242C1C2A">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c>
          <w:tcPr>
            <w:tcW w:w="1057" w:type="dxa"/>
            <w:vAlign w:val="center"/>
          </w:tcPr>
          <w:p w14:paraId="4B413F1D">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r>
      <w:tr w14:paraId="40256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59" w:type="dxa"/>
            <w:vMerge w:val="continue"/>
            <w:vAlign w:val="center"/>
          </w:tcPr>
          <w:p w14:paraId="41A068BE">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000" w:type="dxa"/>
            <w:vMerge w:val="continue"/>
            <w:vAlign w:val="center"/>
          </w:tcPr>
          <w:p w14:paraId="41DF286D">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3494" w:type="dxa"/>
            <w:vAlign w:val="center"/>
          </w:tcPr>
          <w:p w14:paraId="291EAA8D">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7"/>
                <w:sz w:val="21"/>
                <w:szCs w:val="21"/>
              </w:rPr>
              <w:t>25。～45。</w:t>
            </w:r>
          </w:p>
        </w:tc>
        <w:tc>
          <w:tcPr>
            <w:tcW w:w="1033" w:type="dxa"/>
            <w:vAlign w:val="center"/>
          </w:tcPr>
          <w:p w14:paraId="1881AB9B">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z w:val="21"/>
                <w:szCs w:val="21"/>
              </w:rPr>
              <w:t>N</w:t>
            </w:r>
          </w:p>
        </w:tc>
        <w:tc>
          <w:tcPr>
            <w:tcW w:w="1103" w:type="dxa"/>
            <w:vAlign w:val="center"/>
          </w:tcPr>
          <w:p w14:paraId="41A11E9E">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2等</w:t>
            </w:r>
          </w:p>
        </w:tc>
        <w:tc>
          <w:tcPr>
            <w:tcW w:w="1057" w:type="dxa"/>
            <w:vAlign w:val="center"/>
          </w:tcPr>
          <w:p w14:paraId="5D206DE9">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2等或3等</w:t>
            </w:r>
          </w:p>
        </w:tc>
      </w:tr>
      <w:tr w14:paraId="4F844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 w:hRule="atLeast"/>
        </w:trPr>
        <w:tc>
          <w:tcPr>
            <w:tcW w:w="559" w:type="dxa"/>
            <w:vMerge w:val="continue"/>
            <w:vAlign w:val="center"/>
          </w:tcPr>
          <w:p w14:paraId="76ED13C8">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000" w:type="dxa"/>
            <w:vMerge w:val="continue"/>
            <w:vAlign w:val="center"/>
          </w:tcPr>
          <w:p w14:paraId="001CD79F">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3494" w:type="dxa"/>
            <w:vAlign w:val="center"/>
          </w:tcPr>
          <w:p w14:paraId="6D889AE4">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3"/>
                <w:sz w:val="21"/>
                <w:szCs w:val="21"/>
              </w:rPr>
              <w:t>&gt;45。</w:t>
            </w:r>
          </w:p>
        </w:tc>
        <w:tc>
          <w:tcPr>
            <w:tcW w:w="1033" w:type="dxa"/>
            <w:vAlign w:val="center"/>
          </w:tcPr>
          <w:p w14:paraId="2CAB1C82">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z w:val="21"/>
                <w:szCs w:val="21"/>
              </w:rPr>
              <w:t>N</w:t>
            </w:r>
          </w:p>
        </w:tc>
        <w:tc>
          <w:tcPr>
            <w:tcW w:w="1103" w:type="dxa"/>
            <w:vAlign w:val="center"/>
          </w:tcPr>
          <w:p w14:paraId="3B717CDF">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3等或N</w:t>
            </w:r>
          </w:p>
        </w:tc>
        <w:tc>
          <w:tcPr>
            <w:tcW w:w="1057" w:type="dxa"/>
            <w:vAlign w:val="center"/>
          </w:tcPr>
          <w:p w14:paraId="0BD04218">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z w:val="21"/>
                <w:szCs w:val="21"/>
              </w:rPr>
              <w:t>N</w:t>
            </w:r>
          </w:p>
        </w:tc>
      </w:tr>
      <w:tr w14:paraId="50D92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59" w:type="dxa"/>
            <w:vMerge w:val="restart"/>
            <w:vAlign w:val="center"/>
          </w:tcPr>
          <w:p w14:paraId="208B7D94">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z w:val="21"/>
                <w:szCs w:val="21"/>
              </w:rPr>
              <w:t>4</w:t>
            </w:r>
          </w:p>
        </w:tc>
        <w:tc>
          <w:tcPr>
            <w:tcW w:w="1000" w:type="dxa"/>
            <w:vMerge w:val="restart"/>
            <w:vAlign w:val="center"/>
          </w:tcPr>
          <w:p w14:paraId="225D67EA">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3"/>
                <w:sz w:val="21"/>
                <w:szCs w:val="21"/>
              </w:rPr>
              <w:t>土源保</w:t>
            </w:r>
            <w:r>
              <w:rPr>
                <w:rFonts w:hint="eastAsia" w:ascii="宋体" w:hAnsi="宋体" w:eastAsia="宋体" w:cs="宋体"/>
                <w:spacing w:val="-4"/>
                <w:sz w:val="21"/>
                <w:szCs w:val="21"/>
              </w:rPr>
              <w:t>证率</w:t>
            </w:r>
            <w:r>
              <w:rPr>
                <w:rFonts w:hint="eastAsia" w:ascii="宋体" w:hAnsi="宋体" w:eastAsia="宋体" w:cs="宋体"/>
                <w:spacing w:val="13"/>
                <w:sz w:val="21"/>
                <w:szCs w:val="21"/>
              </w:rPr>
              <w:t>(%)</w:t>
            </w:r>
          </w:p>
        </w:tc>
        <w:tc>
          <w:tcPr>
            <w:tcW w:w="3494" w:type="dxa"/>
            <w:vAlign w:val="center"/>
          </w:tcPr>
          <w:p w14:paraId="74684AFB">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80～100</w:t>
            </w:r>
          </w:p>
        </w:tc>
        <w:tc>
          <w:tcPr>
            <w:tcW w:w="1033" w:type="dxa"/>
            <w:vAlign w:val="center"/>
          </w:tcPr>
          <w:p w14:paraId="60116A41">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c>
          <w:tcPr>
            <w:tcW w:w="1103" w:type="dxa"/>
            <w:vAlign w:val="center"/>
          </w:tcPr>
          <w:p w14:paraId="17262F2F">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c>
          <w:tcPr>
            <w:tcW w:w="1057" w:type="dxa"/>
            <w:vAlign w:val="center"/>
          </w:tcPr>
          <w:p w14:paraId="2EECE34F">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r>
      <w:tr w14:paraId="3CD50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59" w:type="dxa"/>
            <w:vMerge w:val="continue"/>
            <w:vAlign w:val="center"/>
          </w:tcPr>
          <w:p w14:paraId="34DD35AB">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000" w:type="dxa"/>
            <w:vMerge w:val="continue"/>
            <w:vAlign w:val="center"/>
          </w:tcPr>
          <w:p w14:paraId="2560BB69">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3494" w:type="dxa"/>
            <w:vAlign w:val="center"/>
          </w:tcPr>
          <w:p w14:paraId="0B028044">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60～80</w:t>
            </w:r>
          </w:p>
        </w:tc>
        <w:tc>
          <w:tcPr>
            <w:tcW w:w="1033" w:type="dxa"/>
            <w:vAlign w:val="center"/>
          </w:tcPr>
          <w:p w14:paraId="79FF715D">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2等</w:t>
            </w:r>
          </w:p>
        </w:tc>
        <w:tc>
          <w:tcPr>
            <w:tcW w:w="1103" w:type="dxa"/>
            <w:vAlign w:val="center"/>
          </w:tcPr>
          <w:p w14:paraId="57ACF39F">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2等</w:t>
            </w:r>
          </w:p>
        </w:tc>
        <w:tc>
          <w:tcPr>
            <w:tcW w:w="1057" w:type="dxa"/>
            <w:vAlign w:val="center"/>
          </w:tcPr>
          <w:p w14:paraId="210AF7E6">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11"/>
                <w:sz w:val="21"/>
                <w:szCs w:val="21"/>
              </w:rPr>
              <w:t>1等</w:t>
            </w:r>
          </w:p>
        </w:tc>
      </w:tr>
      <w:tr w14:paraId="4564C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59" w:type="dxa"/>
            <w:vMerge w:val="continue"/>
            <w:vAlign w:val="center"/>
          </w:tcPr>
          <w:p w14:paraId="53047EFA">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000" w:type="dxa"/>
            <w:vMerge w:val="continue"/>
            <w:vAlign w:val="center"/>
          </w:tcPr>
          <w:p w14:paraId="6E881B87">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3494" w:type="dxa"/>
            <w:vAlign w:val="center"/>
          </w:tcPr>
          <w:p w14:paraId="7694FAA8">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40～60</w:t>
            </w:r>
          </w:p>
        </w:tc>
        <w:tc>
          <w:tcPr>
            <w:tcW w:w="1033" w:type="dxa"/>
            <w:vAlign w:val="center"/>
          </w:tcPr>
          <w:p w14:paraId="4C60FF88">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1103" w:type="dxa"/>
            <w:vAlign w:val="center"/>
          </w:tcPr>
          <w:p w14:paraId="4037F207">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2等或3等</w:t>
            </w:r>
          </w:p>
        </w:tc>
        <w:tc>
          <w:tcPr>
            <w:tcW w:w="1057" w:type="dxa"/>
            <w:vAlign w:val="center"/>
          </w:tcPr>
          <w:p w14:paraId="3D4CC66B">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2等</w:t>
            </w:r>
          </w:p>
        </w:tc>
      </w:tr>
      <w:tr w14:paraId="72FB1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59" w:type="dxa"/>
            <w:vMerge w:val="continue"/>
            <w:vAlign w:val="center"/>
          </w:tcPr>
          <w:p w14:paraId="4585805C">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1000" w:type="dxa"/>
            <w:vMerge w:val="continue"/>
            <w:vAlign w:val="center"/>
          </w:tcPr>
          <w:p w14:paraId="2D9A328C">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p>
        </w:tc>
        <w:tc>
          <w:tcPr>
            <w:tcW w:w="3494" w:type="dxa"/>
            <w:vAlign w:val="center"/>
          </w:tcPr>
          <w:p w14:paraId="0F91F8A2">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&lt;40</w:t>
            </w:r>
          </w:p>
        </w:tc>
        <w:tc>
          <w:tcPr>
            <w:tcW w:w="1033" w:type="dxa"/>
            <w:vAlign w:val="center"/>
          </w:tcPr>
          <w:p w14:paraId="6DFC152C">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z w:val="21"/>
                <w:szCs w:val="21"/>
              </w:rPr>
              <w:t>N</w:t>
            </w:r>
          </w:p>
        </w:tc>
        <w:tc>
          <w:tcPr>
            <w:tcW w:w="1103" w:type="dxa"/>
            <w:vAlign w:val="center"/>
          </w:tcPr>
          <w:p w14:paraId="7AC52D45">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z w:val="21"/>
                <w:szCs w:val="21"/>
              </w:rPr>
              <w:t>N</w:t>
            </w:r>
          </w:p>
        </w:tc>
        <w:tc>
          <w:tcPr>
            <w:tcW w:w="1057" w:type="dxa"/>
            <w:vAlign w:val="center"/>
          </w:tcPr>
          <w:p w14:paraId="7966ACAB">
            <w:pPr>
              <w:pStyle w:val="23"/>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3等或N</w:t>
            </w:r>
          </w:p>
        </w:tc>
      </w:tr>
    </w:tbl>
    <w:p w14:paraId="26E1E93F">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⑶</w:t>
      </w:r>
      <w:r>
        <w:rPr>
          <w:rFonts w:ascii="宋体" w:hAnsi="宋体" w:eastAsia="宋体" w:cs="宋体"/>
          <w:spacing w:val="6"/>
          <w:sz w:val="28"/>
          <w:szCs w:val="28"/>
          <w:lang w:eastAsia="zh-CN"/>
        </w:rPr>
        <w:t>各评价单元土地质量状况及等级评定结果</w:t>
      </w:r>
    </w:p>
    <w:p w14:paraId="43BDD50D">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ascii="宋体" w:hAnsi="宋体" w:eastAsia="宋体" w:cs="宋体"/>
          <w:spacing w:val="6"/>
          <w:sz w:val="28"/>
          <w:szCs w:val="28"/>
          <w:lang w:eastAsia="zh-CN"/>
        </w:rPr>
        <w:t>在对项目土地质量调查的基础上，将参评单元的土地质量分别与</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土地主要限制因素的林牧业评价等级标准对比，若限制最大，</w:t>
      </w:r>
      <w:r>
        <w:rPr>
          <w:rFonts w:hint="eastAsia" w:ascii="宋体" w:hAnsi="宋体" w:eastAsia="宋体" w:cs="宋体"/>
          <w:spacing w:val="6"/>
          <w:sz w:val="28"/>
          <w:szCs w:val="28"/>
          <w:lang w:eastAsia="zh-CN"/>
        </w:rPr>
        <w:t>可行</w:t>
      </w:r>
      <w:r>
        <w:rPr>
          <w:rFonts w:ascii="宋体" w:hAnsi="宋体" w:eastAsia="宋体" w:cs="宋体"/>
          <w:spacing w:val="6"/>
          <w:sz w:val="28"/>
          <w:szCs w:val="28"/>
          <w:lang w:eastAsia="zh-CN"/>
        </w:rPr>
        <w:t>性等级最低的土地质量参评项目决定该单元土地</w:t>
      </w:r>
      <w:r>
        <w:rPr>
          <w:rFonts w:hint="eastAsia" w:ascii="宋体" w:hAnsi="宋体" w:eastAsia="宋体" w:cs="宋体"/>
          <w:spacing w:val="6"/>
          <w:sz w:val="28"/>
          <w:szCs w:val="28"/>
          <w:lang w:eastAsia="zh-CN"/>
        </w:rPr>
        <w:t>可行</w:t>
      </w:r>
      <w:r>
        <w:rPr>
          <w:rFonts w:ascii="宋体" w:hAnsi="宋体" w:eastAsia="宋体" w:cs="宋体"/>
          <w:spacing w:val="6"/>
          <w:sz w:val="28"/>
          <w:szCs w:val="28"/>
          <w:lang w:eastAsia="zh-CN"/>
        </w:rPr>
        <w:t>等级（详见结果表</w:t>
      </w:r>
      <w:r>
        <w:rPr>
          <w:rFonts w:hint="eastAsia" w:ascii="宋体" w:hAnsi="宋体" w:eastAsia="宋体" w:cs="宋体"/>
          <w:spacing w:val="6"/>
          <w:sz w:val="28"/>
          <w:szCs w:val="28"/>
          <w:lang w:eastAsia="zh-CN"/>
        </w:rPr>
        <w:t>3-16</w:t>
      </w:r>
      <w:r>
        <w:rPr>
          <w:rFonts w:ascii="宋体" w:hAnsi="宋体" w:eastAsia="宋体" w:cs="宋体"/>
          <w:spacing w:val="6"/>
          <w:sz w:val="28"/>
          <w:szCs w:val="28"/>
          <w:lang w:eastAsia="zh-CN"/>
        </w:rPr>
        <w:t>）。</w:t>
      </w:r>
      <w:bookmarkStart w:id="160" w:name="bookmark269"/>
      <w:bookmarkEnd w:id="160"/>
    </w:p>
    <w:p w14:paraId="666D5C2F">
      <w:pPr>
        <w:widowControl w:val="0"/>
        <w:kinsoku/>
        <w:adjustRightInd/>
        <w:snapToGrid/>
        <w:jc w:val="center"/>
        <w:rPr>
          <w:rFonts w:hint="eastAsia" w:ascii="宋体" w:hAnsi="宋体" w:eastAsia="宋体" w:cs="宋体"/>
          <w:b/>
          <w:bCs/>
          <w:spacing w:val="-2"/>
          <w:lang w:eastAsia="zh-CN"/>
        </w:rPr>
      </w:pPr>
      <w:r>
        <w:rPr>
          <w:rFonts w:ascii="宋体" w:hAnsi="宋体" w:eastAsia="宋体" w:cs="宋体"/>
          <w:b/>
          <w:bCs/>
          <w:spacing w:val="-2"/>
          <w:lang w:eastAsia="zh-CN"/>
        </w:rPr>
        <w:t>表</w:t>
      </w:r>
      <w:r>
        <w:rPr>
          <w:rFonts w:hint="eastAsia" w:ascii="宋体" w:hAnsi="宋体" w:eastAsia="宋体" w:cs="宋体"/>
          <w:b/>
          <w:bCs/>
          <w:spacing w:val="-2"/>
          <w:lang w:eastAsia="zh-CN"/>
        </w:rPr>
        <w:t xml:space="preserve">3-16  </w:t>
      </w:r>
      <w:r>
        <w:rPr>
          <w:rFonts w:ascii="宋体" w:hAnsi="宋体" w:eastAsia="宋体" w:cs="宋体"/>
          <w:b/>
          <w:bCs/>
          <w:spacing w:val="-2"/>
          <w:lang w:eastAsia="zh-CN"/>
        </w:rPr>
        <w:t>宜耕和宜草</w:t>
      </w:r>
      <w:r>
        <w:rPr>
          <w:rFonts w:hint="eastAsia" w:ascii="宋体" w:hAnsi="宋体" w:eastAsia="宋体" w:cs="宋体"/>
          <w:b/>
          <w:bCs/>
          <w:spacing w:val="-2"/>
          <w:lang w:eastAsia="zh-CN"/>
        </w:rPr>
        <w:t>可行</w:t>
      </w:r>
      <w:r>
        <w:rPr>
          <w:rFonts w:ascii="宋体" w:hAnsi="宋体" w:eastAsia="宋体" w:cs="宋体"/>
          <w:b/>
          <w:bCs/>
          <w:spacing w:val="-2"/>
          <w:lang w:eastAsia="zh-CN"/>
        </w:rPr>
        <w:t>性评价表</w:t>
      </w:r>
    </w:p>
    <w:tbl>
      <w:tblPr>
        <w:tblStyle w:val="22"/>
        <w:tblW w:w="8270" w:type="dxa"/>
        <w:tblInd w:w="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27"/>
        <w:gridCol w:w="2750"/>
        <w:gridCol w:w="1068"/>
        <w:gridCol w:w="761"/>
        <w:gridCol w:w="1399"/>
        <w:gridCol w:w="965"/>
      </w:tblGrid>
      <w:tr w14:paraId="2AF39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atLeast"/>
        </w:trPr>
        <w:tc>
          <w:tcPr>
            <w:tcW w:w="1327" w:type="dxa"/>
            <w:vAlign w:val="center"/>
          </w:tcPr>
          <w:p w14:paraId="0C767183">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3"/>
                <w:sz w:val="21"/>
                <w:szCs w:val="21"/>
              </w:rPr>
              <w:t>单元名称</w:t>
            </w:r>
          </w:p>
        </w:tc>
        <w:tc>
          <w:tcPr>
            <w:tcW w:w="2750" w:type="dxa"/>
            <w:vAlign w:val="center"/>
          </w:tcPr>
          <w:p w14:paraId="36ED5A6C">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土地质量状况</w:t>
            </w:r>
          </w:p>
        </w:tc>
        <w:tc>
          <w:tcPr>
            <w:tcW w:w="1068" w:type="dxa"/>
            <w:vAlign w:val="center"/>
          </w:tcPr>
          <w:p w14:paraId="4AB2C50A">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评价类型</w:t>
            </w:r>
          </w:p>
        </w:tc>
        <w:tc>
          <w:tcPr>
            <w:tcW w:w="761" w:type="dxa"/>
            <w:vAlign w:val="center"/>
          </w:tcPr>
          <w:p w14:paraId="473DE860">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3"/>
                <w:sz w:val="21"/>
                <w:szCs w:val="21"/>
                <w:lang w:eastAsia="zh-CN"/>
              </w:rPr>
              <w:t>可行</w:t>
            </w:r>
            <w:r>
              <w:rPr>
                <w:rFonts w:hint="eastAsia" w:ascii="宋体" w:hAnsi="宋体" w:eastAsia="宋体" w:cs="宋体"/>
                <w:spacing w:val="-3"/>
                <w:sz w:val="21"/>
                <w:szCs w:val="21"/>
              </w:rPr>
              <w:t>性</w:t>
            </w:r>
          </w:p>
        </w:tc>
        <w:tc>
          <w:tcPr>
            <w:tcW w:w="1399" w:type="dxa"/>
            <w:vAlign w:val="center"/>
          </w:tcPr>
          <w:p w14:paraId="2D087940">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主要限制因素</w:t>
            </w:r>
          </w:p>
        </w:tc>
        <w:tc>
          <w:tcPr>
            <w:tcW w:w="965" w:type="dxa"/>
            <w:vAlign w:val="center"/>
          </w:tcPr>
          <w:p w14:paraId="392065F1">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备注</w:t>
            </w:r>
          </w:p>
        </w:tc>
      </w:tr>
      <w:tr w14:paraId="02C2F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1327" w:type="dxa"/>
            <w:vMerge w:val="restart"/>
            <w:vAlign w:val="center"/>
          </w:tcPr>
          <w:p w14:paraId="5D3FDC26">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p>
          <w:p w14:paraId="75ED91A4">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P1（</w:t>
            </w:r>
            <w:r>
              <w:rPr>
                <w:rFonts w:hint="eastAsia" w:ascii="宋体" w:hAnsi="宋体" w:eastAsia="宋体" w:cs="宋体"/>
                <w:spacing w:val="-2"/>
                <w:sz w:val="21"/>
                <w:szCs w:val="21"/>
                <w:lang w:eastAsia="zh-CN"/>
              </w:rPr>
              <w:t>采矿场地</w:t>
            </w:r>
            <w:r>
              <w:rPr>
                <w:rFonts w:hint="eastAsia" w:ascii="宋体" w:hAnsi="宋体" w:eastAsia="宋体" w:cs="宋体"/>
                <w:spacing w:val="-2"/>
                <w:sz w:val="21"/>
                <w:szCs w:val="21"/>
              </w:rPr>
              <w:t>）</w:t>
            </w:r>
          </w:p>
        </w:tc>
        <w:tc>
          <w:tcPr>
            <w:tcW w:w="2750" w:type="dxa"/>
            <w:vMerge w:val="restart"/>
            <w:vAlign w:val="center"/>
          </w:tcPr>
          <w:p w14:paraId="35F939BD">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lang w:eastAsia="zh-CN"/>
              </w:rPr>
            </w:pPr>
          </w:p>
          <w:p w14:paraId="3528D690">
            <w:pPr>
              <w:keepNext w:val="0"/>
              <w:keepLines w:val="0"/>
              <w:pageBreakBefore w:val="0"/>
              <w:widowControl w:val="0"/>
              <w:kinsoku/>
              <w:wordWrap/>
              <w:overflowPunct/>
              <w:topLinePunct w:val="0"/>
              <w:autoSpaceDE w:val="0"/>
              <w:autoSpaceDN w:val="0"/>
              <w:bidi w:val="0"/>
              <w:adjustRightInd/>
              <w:snapToGrid/>
              <w:spacing w:line="240" w:lineRule="auto"/>
              <w:ind w:left="0" w:firstLine="206" w:firstLineChars="100"/>
              <w:jc w:val="both"/>
              <w:textAlignment w:val="baseline"/>
              <w:rPr>
                <w:rFonts w:hint="eastAsia" w:ascii="宋体" w:hAnsi="宋体" w:eastAsia="宋体" w:cs="宋体"/>
                <w:spacing w:val="-2"/>
                <w:sz w:val="21"/>
                <w:szCs w:val="21"/>
                <w:lang w:eastAsia="zh-CN"/>
              </w:rPr>
            </w:pPr>
            <w:r>
              <w:rPr>
                <w:rFonts w:hint="eastAsia" w:ascii="宋体" w:hAnsi="宋体" w:eastAsia="宋体" w:cs="宋体"/>
                <w:spacing w:val="-2"/>
                <w:sz w:val="21"/>
                <w:szCs w:val="21"/>
                <w:lang w:eastAsia="zh-CN"/>
              </w:rPr>
              <w:t>采场平台、底部坡度为5～10°，采矿场地坡面坡度55°；地表组成物质为坡积碎石及黄土；无土源保证,无灌溉条件、干旱土地。</w:t>
            </w:r>
          </w:p>
        </w:tc>
        <w:tc>
          <w:tcPr>
            <w:tcW w:w="1068" w:type="dxa"/>
            <w:vAlign w:val="center"/>
          </w:tcPr>
          <w:p w14:paraId="7ABC100D">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耕地评价</w:t>
            </w:r>
          </w:p>
        </w:tc>
        <w:tc>
          <w:tcPr>
            <w:tcW w:w="761" w:type="dxa"/>
            <w:vAlign w:val="center"/>
          </w:tcPr>
          <w:p w14:paraId="1BC0B657">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1399" w:type="dxa"/>
            <w:vAlign w:val="center"/>
          </w:tcPr>
          <w:p w14:paraId="4B1FE592">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lang w:eastAsia="zh-CN"/>
              </w:rPr>
            </w:pPr>
            <w:r>
              <w:rPr>
                <w:rFonts w:hint="eastAsia" w:ascii="宋体" w:hAnsi="宋体" w:eastAsia="宋体" w:cs="宋体"/>
                <w:spacing w:val="-2"/>
                <w:sz w:val="21"/>
                <w:szCs w:val="21"/>
                <w:lang w:eastAsia="zh-CN"/>
              </w:rPr>
              <w:t>无灌溉条件，无土源保证</w:t>
            </w:r>
          </w:p>
        </w:tc>
        <w:tc>
          <w:tcPr>
            <w:tcW w:w="965" w:type="dxa"/>
            <w:vAlign w:val="center"/>
          </w:tcPr>
          <w:p w14:paraId="21B6F433">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无法</w:t>
            </w:r>
            <w:r>
              <w:rPr>
                <w:rFonts w:hint="eastAsia" w:ascii="宋体" w:hAnsi="宋体" w:eastAsia="宋体" w:cs="宋体"/>
                <w:spacing w:val="-2"/>
                <w:sz w:val="21"/>
                <w:szCs w:val="21"/>
                <w:lang w:eastAsia="zh-CN"/>
              </w:rPr>
              <w:t>修复</w:t>
            </w:r>
            <w:r>
              <w:rPr>
                <w:rFonts w:hint="eastAsia" w:ascii="宋体" w:hAnsi="宋体" w:eastAsia="宋体" w:cs="宋体"/>
                <w:spacing w:val="-2"/>
                <w:sz w:val="21"/>
                <w:szCs w:val="21"/>
              </w:rPr>
              <w:t>为旱地</w:t>
            </w:r>
          </w:p>
        </w:tc>
      </w:tr>
      <w:tr w14:paraId="6A6D2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1327" w:type="dxa"/>
            <w:vMerge w:val="continue"/>
            <w:vAlign w:val="center"/>
          </w:tcPr>
          <w:p w14:paraId="0CFFC767">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p>
        </w:tc>
        <w:tc>
          <w:tcPr>
            <w:tcW w:w="2750" w:type="dxa"/>
            <w:vMerge w:val="continue"/>
            <w:vAlign w:val="center"/>
          </w:tcPr>
          <w:p w14:paraId="4B916581">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p>
        </w:tc>
        <w:tc>
          <w:tcPr>
            <w:tcW w:w="1068" w:type="dxa"/>
            <w:vAlign w:val="center"/>
          </w:tcPr>
          <w:p w14:paraId="23EFE158">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林地评价</w:t>
            </w:r>
          </w:p>
        </w:tc>
        <w:tc>
          <w:tcPr>
            <w:tcW w:w="761" w:type="dxa"/>
            <w:vAlign w:val="center"/>
          </w:tcPr>
          <w:p w14:paraId="44A4AF35">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1399" w:type="dxa"/>
            <w:vAlign w:val="center"/>
          </w:tcPr>
          <w:p w14:paraId="7CE24D9B">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lang w:eastAsia="zh-CN"/>
              </w:rPr>
            </w:pPr>
            <w:r>
              <w:rPr>
                <w:rFonts w:hint="eastAsia" w:ascii="宋体" w:hAnsi="宋体" w:eastAsia="宋体" w:cs="宋体"/>
                <w:spacing w:val="-2"/>
                <w:sz w:val="21"/>
                <w:szCs w:val="21"/>
                <w:lang w:eastAsia="zh-CN"/>
              </w:rPr>
              <w:t>无灌溉条件，无土源保证</w:t>
            </w:r>
          </w:p>
        </w:tc>
        <w:tc>
          <w:tcPr>
            <w:tcW w:w="965" w:type="dxa"/>
            <w:vAlign w:val="center"/>
          </w:tcPr>
          <w:p w14:paraId="10C82CD8">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lang w:eastAsia="zh-CN"/>
              </w:rPr>
              <w:t>无法修复</w:t>
            </w:r>
            <w:r>
              <w:rPr>
                <w:rFonts w:hint="eastAsia" w:ascii="宋体" w:hAnsi="宋体" w:eastAsia="宋体" w:cs="宋体"/>
                <w:spacing w:val="-2"/>
                <w:sz w:val="21"/>
                <w:szCs w:val="21"/>
              </w:rPr>
              <w:t>为林地</w:t>
            </w:r>
          </w:p>
        </w:tc>
      </w:tr>
      <w:tr w14:paraId="5168F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2" w:hRule="atLeast"/>
        </w:trPr>
        <w:tc>
          <w:tcPr>
            <w:tcW w:w="1327" w:type="dxa"/>
            <w:vMerge w:val="continue"/>
            <w:vAlign w:val="center"/>
          </w:tcPr>
          <w:p w14:paraId="7854A533">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p>
        </w:tc>
        <w:tc>
          <w:tcPr>
            <w:tcW w:w="2750" w:type="dxa"/>
            <w:vMerge w:val="continue"/>
            <w:vAlign w:val="center"/>
          </w:tcPr>
          <w:p w14:paraId="625286E4">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p>
        </w:tc>
        <w:tc>
          <w:tcPr>
            <w:tcW w:w="1068" w:type="dxa"/>
            <w:vAlign w:val="center"/>
          </w:tcPr>
          <w:p w14:paraId="130DD24A">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草地评价</w:t>
            </w:r>
          </w:p>
        </w:tc>
        <w:tc>
          <w:tcPr>
            <w:tcW w:w="761" w:type="dxa"/>
            <w:vAlign w:val="center"/>
          </w:tcPr>
          <w:p w14:paraId="14492538">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1399" w:type="dxa"/>
            <w:vAlign w:val="center"/>
          </w:tcPr>
          <w:p w14:paraId="5525A1FF">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lang w:eastAsia="zh-CN"/>
              </w:rPr>
            </w:pPr>
            <w:r>
              <w:rPr>
                <w:rFonts w:hint="eastAsia" w:ascii="宋体" w:hAnsi="宋体" w:eastAsia="宋体" w:cs="宋体"/>
                <w:spacing w:val="-2"/>
                <w:sz w:val="21"/>
                <w:szCs w:val="21"/>
                <w:lang w:eastAsia="zh-CN"/>
              </w:rPr>
              <w:t>无灌溉条件，无土源保证</w:t>
            </w:r>
          </w:p>
        </w:tc>
        <w:tc>
          <w:tcPr>
            <w:tcW w:w="965" w:type="dxa"/>
            <w:vAlign w:val="center"/>
          </w:tcPr>
          <w:p w14:paraId="1FC48682">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lang w:eastAsia="zh-CN"/>
              </w:rPr>
              <w:t>无法修复</w:t>
            </w:r>
            <w:r>
              <w:rPr>
                <w:rFonts w:hint="eastAsia" w:ascii="宋体" w:hAnsi="宋体" w:eastAsia="宋体" w:cs="宋体"/>
                <w:spacing w:val="-2"/>
                <w:sz w:val="21"/>
                <w:szCs w:val="21"/>
              </w:rPr>
              <w:t>为草地</w:t>
            </w:r>
          </w:p>
        </w:tc>
      </w:tr>
      <w:tr w14:paraId="5D9B3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2" w:hRule="atLeast"/>
        </w:trPr>
        <w:tc>
          <w:tcPr>
            <w:tcW w:w="1327" w:type="dxa"/>
            <w:vMerge w:val="restart"/>
            <w:vAlign w:val="center"/>
          </w:tcPr>
          <w:p w14:paraId="440C3BD5">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p>
          <w:p w14:paraId="24602C21">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P2（</w:t>
            </w:r>
            <w:r>
              <w:rPr>
                <w:rFonts w:hint="eastAsia" w:ascii="宋体" w:hAnsi="宋体" w:eastAsia="宋体" w:cs="宋体"/>
                <w:spacing w:val="-2"/>
                <w:sz w:val="21"/>
                <w:szCs w:val="21"/>
                <w:lang w:eastAsia="zh-CN"/>
              </w:rPr>
              <w:t>工业场地</w:t>
            </w:r>
            <w:r>
              <w:rPr>
                <w:rFonts w:hint="eastAsia" w:ascii="宋体" w:hAnsi="宋体" w:eastAsia="宋体" w:cs="宋体"/>
                <w:spacing w:val="-2"/>
                <w:sz w:val="21"/>
                <w:szCs w:val="21"/>
              </w:rPr>
              <w:t>）</w:t>
            </w:r>
          </w:p>
        </w:tc>
        <w:tc>
          <w:tcPr>
            <w:tcW w:w="2750" w:type="dxa"/>
            <w:vMerge w:val="restart"/>
            <w:vAlign w:val="center"/>
          </w:tcPr>
          <w:p w14:paraId="1889A7FC">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lang w:eastAsia="zh-CN"/>
              </w:rPr>
            </w:pPr>
          </w:p>
          <w:p w14:paraId="73FE38A6">
            <w:pPr>
              <w:keepNext w:val="0"/>
              <w:keepLines w:val="0"/>
              <w:pageBreakBefore w:val="0"/>
              <w:widowControl w:val="0"/>
              <w:kinsoku/>
              <w:wordWrap/>
              <w:overflowPunct/>
              <w:topLinePunct w:val="0"/>
              <w:autoSpaceDE w:val="0"/>
              <w:autoSpaceDN w:val="0"/>
              <w:bidi w:val="0"/>
              <w:adjustRightInd/>
              <w:snapToGrid/>
              <w:spacing w:line="240" w:lineRule="auto"/>
              <w:ind w:left="0" w:firstLine="206" w:firstLineChars="100"/>
              <w:jc w:val="both"/>
              <w:textAlignment w:val="baseline"/>
              <w:rPr>
                <w:rFonts w:hint="eastAsia" w:ascii="宋体" w:hAnsi="宋体" w:eastAsia="宋体" w:cs="宋体"/>
                <w:spacing w:val="-2"/>
                <w:sz w:val="21"/>
                <w:szCs w:val="21"/>
                <w:lang w:eastAsia="zh-CN"/>
              </w:rPr>
            </w:pPr>
            <w:r>
              <w:rPr>
                <w:rFonts w:hint="eastAsia" w:ascii="宋体" w:hAnsi="宋体" w:eastAsia="宋体" w:cs="宋体"/>
                <w:spacing w:val="-2"/>
                <w:sz w:val="21"/>
                <w:szCs w:val="21"/>
                <w:lang w:eastAsia="zh-CN"/>
              </w:rPr>
              <w:t>工业场地地面坡度≤10°，地表组成物质为坡积碎石及黄土；无土源保证；无灌溉条件、干旱土地。</w:t>
            </w:r>
          </w:p>
        </w:tc>
        <w:tc>
          <w:tcPr>
            <w:tcW w:w="1068" w:type="dxa"/>
            <w:vAlign w:val="center"/>
          </w:tcPr>
          <w:p w14:paraId="7AD02ACB">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耕地评价</w:t>
            </w:r>
          </w:p>
        </w:tc>
        <w:tc>
          <w:tcPr>
            <w:tcW w:w="761" w:type="dxa"/>
            <w:vAlign w:val="center"/>
          </w:tcPr>
          <w:p w14:paraId="1F069C91">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1399" w:type="dxa"/>
            <w:vAlign w:val="center"/>
          </w:tcPr>
          <w:p w14:paraId="5BB13307">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lang w:eastAsia="zh-CN"/>
              </w:rPr>
            </w:pPr>
            <w:r>
              <w:rPr>
                <w:rFonts w:hint="eastAsia" w:ascii="宋体" w:hAnsi="宋体" w:eastAsia="宋体" w:cs="宋体"/>
                <w:spacing w:val="-2"/>
                <w:sz w:val="21"/>
                <w:szCs w:val="21"/>
                <w:lang w:eastAsia="zh-CN"/>
              </w:rPr>
              <w:t>无灌溉条件，无土源保证</w:t>
            </w:r>
          </w:p>
        </w:tc>
        <w:tc>
          <w:tcPr>
            <w:tcW w:w="965" w:type="dxa"/>
            <w:vAlign w:val="center"/>
          </w:tcPr>
          <w:p w14:paraId="37FF70E8">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无法</w:t>
            </w:r>
            <w:r>
              <w:rPr>
                <w:rFonts w:hint="eastAsia" w:ascii="宋体" w:hAnsi="宋体" w:eastAsia="宋体" w:cs="宋体"/>
                <w:spacing w:val="-2"/>
                <w:sz w:val="21"/>
                <w:szCs w:val="21"/>
                <w:lang w:eastAsia="zh-CN"/>
              </w:rPr>
              <w:t>修复</w:t>
            </w:r>
            <w:r>
              <w:rPr>
                <w:rFonts w:hint="eastAsia" w:ascii="宋体" w:hAnsi="宋体" w:eastAsia="宋体" w:cs="宋体"/>
                <w:spacing w:val="-2"/>
                <w:sz w:val="21"/>
                <w:szCs w:val="21"/>
              </w:rPr>
              <w:t>为旱地</w:t>
            </w:r>
          </w:p>
        </w:tc>
      </w:tr>
      <w:tr w14:paraId="08196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1327" w:type="dxa"/>
            <w:vMerge w:val="continue"/>
            <w:vAlign w:val="center"/>
          </w:tcPr>
          <w:p w14:paraId="262E39AF">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p>
        </w:tc>
        <w:tc>
          <w:tcPr>
            <w:tcW w:w="2750" w:type="dxa"/>
            <w:vMerge w:val="continue"/>
            <w:vAlign w:val="center"/>
          </w:tcPr>
          <w:p w14:paraId="5667A80B">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p>
        </w:tc>
        <w:tc>
          <w:tcPr>
            <w:tcW w:w="1068" w:type="dxa"/>
            <w:vAlign w:val="center"/>
          </w:tcPr>
          <w:p w14:paraId="61A6940C">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林地评价</w:t>
            </w:r>
          </w:p>
        </w:tc>
        <w:tc>
          <w:tcPr>
            <w:tcW w:w="761" w:type="dxa"/>
            <w:vAlign w:val="center"/>
          </w:tcPr>
          <w:p w14:paraId="4E8A7955">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1399" w:type="dxa"/>
            <w:vAlign w:val="center"/>
          </w:tcPr>
          <w:p w14:paraId="315D9E14">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lang w:eastAsia="zh-CN"/>
              </w:rPr>
            </w:pPr>
            <w:r>
              <w:rPr>
                <w:rFonts w:hint="eastAsia" w:ascii="宋体" w:hAnsi="宋体" w:eastAsia="宋体" w:cs="宋体"/>
                <w:spacing w:val="-2"/>
                <w:sz w:val="21"/>
                <w:szCs w:val="21"/>
                <w:lang w:eastAsia="zh-CN"/>
              </w:rPr>
              <w:t>无灌溉条件，无土源保证</w:t>
            </w:r>
          </w:p>
        </w:tc>
        <w:tc>
          <w:tcPr>
            <w:tcW w:w="965" w:type="dxa"/>
            <w:vAlign w:val="center"/>
          </w:tcPr>
          <w:p w14:paraId="6F8623D4">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无法</w:t>
            </w:r>
            <w:r>
              <w:rPr>
                <w:rFonts w:hint="eastAsia" w:ascii="宋体" w:hAnsi="宋体" w:eastAsia="宋体" w:cs="宋体"/>
                <w:spacing w:val="-2"/>
                <w:sz w:val="21"/>
                <w:szCs w:val="21"/>
                <w:lang w:eastAsia="zh-CN"/>
              </w:rPr>
              <w:t>修复</w:t>
            </w:r>
            <w:r>
              <w:rPr>
                <w:rFonts w:hint="eastAsia" w:ascii="宋体" w:hAnsi="宋体" w:eastAsia="宋体" w:cs="宋体"/>
                <w:spacing w:val="-2"/>
                <w:sz w:val="21"/>
                <w:szCs w:val="21"/>
              </w:rPr>
              <w:t>为林地</w:t>
            </w:r>
          </w:p>
        </w:tc>
      </w:tr>
      <w:tr w14:paraId="61794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1327" w:type="dxa"/>
            <w:vMerge w:val="continue"/>
            <w:vAlign w:val="center"/>
          </w:tcPr>
          <w:p w14:paraId="52D97805">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p>
        </w:tc>
        <w:tc>
          <w:tcPr>
            <w:tcW w:w="2750" w:type="dxa"/>
            <w:vMerge w:val="continue"/>
            <w:vAlign w:val="center"/>
          </w:tcPr>
          <w:p w14:paraId="7BDE450F">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p>
        </w:tc>
        <w:tc>
          <w:tcPr>
            <w:tcW w:w="1068" w:type="dxa"/>
            <w:vAlign w:val="center"/>
          </w:tcPr>
          <w:p w14:paraId="190C4A36">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草地评价</w:t>
            </w:r>
          </w:p>
        </w:tc>
        <w:tc>
          <w:tcPr>
            <w:tcW w:w="761" w:type="dxa"/>
            <w:vAlign w:val="center"/>
          </w:tcPr>
          <w:p w14:paraId="0787B38A">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1399" w:type="dxa"/>
            <w:vAlign w:val="center"/>
          </w:tcPr>
          <w:p w14:paraId="7BFF7844">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lang w:eastAsia="zh-CN"/>
              </w:rPr>
            </w:pPr>
            <w:r>
              <w:rPr>
                <w:rFonts w:hint="eastAsia" w:ascii="宋体" w:hAnsi="宋体" w:eastAsia="宋体" w:cs="宋体"/>
                <w:spacing w:val="-2"/>
                <w:sz w:val="21"/>
                <w:szCs w:val="21"/>
                <w:lang w:eastAsia="zh-CN"/>
              </w:rPr>
              <w:t>无灌溉条件，无土源保证</w:t>
            </w:r>
          </w:p>
        </w:tc>
        <w:tc>
          <w:tcPr>
            <w:tcW w:w="965" w:type="dxa"/>
            <w:vAlign w:val="center"/>
          </w:tcPr>
          <w:p w14:paraId="12B5BF51">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无法</w:t>
            </w:r>
            <w:r>
              <w:rPr>
                <w:rFonts w:hint="eastAsia" w:ascii="宋体" w:hAnsi="宋体" w:eastAsia="宋体" w:cs="宋体"/>
                <w:spacing w:val="-2"/>
                <w:sz w:val="21"/>
                <w:szCs w:val="21"/>
                <w:lang w:eastAsia="zh-CN"/>
              </w:rPr>
              <w:t>修复</w:t>
            </w:r>
            <w:r>
              <w:rPr>
                <w:rFonts w:hint="eastAsia" w:ascii="宋体" w:hAnsi="宋体" w:eastAsia="宋体" w:cs="宋体"/>
                <w:spacing w:val="-2"/>
                <w:sz w:val="21"/>
                <w:szCs w:val="21"/>
              </w:rPr>
              <w:t>为草地</w:t>
            </w:r>
          </w:p>
        </w:tc>
      </w:tr>
      <w:tr w14:paraId="21BF7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1327" w:type="dxa"/>
            <w:vMerge w:val="restart"/>
            <w:vAlign w:val="center"/>
          </w:tcPr>
          <w:p w14:paraId="47675242">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lang w:eastAsia="zh-CN"/>
              </w:rPr>
              <w:t>P</w:t>
            </w:r>
            <w:r>
              <w:rPr>
                <w:rFonts w:hint="eastAsia" w:ascii="宋体" w:hAnsi="宋体" w:eastAsia="宋体" w:cs="宋体"/>
                <w:spacing w:val="-2"/>
                <w:sz w:val="21"/>
                <w:szCs w:val="21"/>
                <w:lang w:val="en-US" w:eastAsia="zh-CN"/>
              </w:rPr>
              <w:t>3</w:t>
            </w:r>
            <w:r>
              <w:rPr>
                <w:rFonts w:hint="eastAsia" w:ascii="宋体" w:hAnsi="宋体" w:eastAsia="宋体" w:cs="宋体"/>
                <w:spacing w:val="-2"/>
                <w:sz w:val="21"/>
                <w:szCs w:val="21"/>
                <w:lang w:eastAsia="zh-CN"/>
              </w:rPr>
              <w:t>（矿山道路）</w:t>
            </w:r>
          </w:p>
        </w:tc>
        <w:tc>
          <w:tcPr>
            <w:tcW w:w="2750" w:type="dxa"/>
            <w:vMerge w:val="restart"/>
            <w:vAlign w:val="center"/>
          </w:tcPr>
          <w:p w14:paraId="67DC3DB0">
            <w:pPr>
              <w:keepNext w:val="0"/>
              <w:keepLines w:val="0"/>
              <w:pageBreakBefore w:val="0"/>
              <w:widowControl w:val="0"/>
              <w:kinsoku/>
              <w:wordWrap/>
              <w:overflowPunct/>
              <w:topLinePunct w:val="0"/>
              <w:autoSpaceDE w:val="0"/>
              <w:autoSpaceDN w:val="0"/>
              <w:bidi w:val="0"/>
              <w:adjustRightInd/>
              <w:snapToGrid/>
              <w:spacing w:line="240" w:lineRule="auto"/>
              <w:ind w:left="0" w:firstLine="206" w:firstLineChars="100"/>
              <w:jc w:val="both"/>
              <w:textAlignment w:val="baseline"/>
              <w:rPr>
                <w:rFonts w:hint="eastAsia" w:ascii="宋体" w:hAnsi="宋体" w:eastAsia="宋体" w:cs="宋体"/>
                <w:spacing w:val="-2"/>
                <w:sz w:val="21"/>
                <w:szCs w:val="21"/>
              </w:rPr>
            </w:pPr>
            <w:r>
              <w:rPr>
                <w:rFonts w:hint="eastAsia" w:ascii="宋体" w:hAnsi="宋体" w:eastAsia="宋体" w:cs="宋体"/>
                <w:spacing w:val="-2"/>
                <w:sz w:val="21"/>
                <w:szCs w:val="21"/>
                <w:lang w:eastAsia="zh-CN"/>
              </w:rPr>
              <w:t>矿山道路地面坡度≤10°，地表组成物质为坡积碎石及黄土；无土源保证；无灌溉条件、干旱土地。</w:t>
            </w:r>
          </w:p>
        </w:tc>
        <w:tc>
          <w:tcPr>
            <w:tcW w:w="1068" w:type="dxa"/>
            <w:vAlign w:val="center"/>
          </w:tcPr>
          <w:p w14:paraId="60FDC2F1">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耕地评价</w:t>
            </w:r>
          </w:p>
        </w:tc>
        <w:tc>
          <w:tcPr>
            <w:tcW w:w="761" w:type="dxa"/>
            <w:vAlign w:val="center"/>
          </w:tcPr>
          <w:p w14:paraId="345C236C">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6"/>
                <w:sz w:val="21"/>
                <w:szCs w:val="21"/>
              </w:rPr>
            </w:pPr>
            <w:r>
              <w:rPr>
                <w:rFonts w:hint="eastAsia" w:ascii="宋体" w:hAnsi="宋体" w:eastAsia="宋体" w:cs="宋体"/>
                <w:spacing w:val="-6"/>
                <w:sz w:val="21"/>
                <w:szCs w:val="21"/>
              </w:rPr>
              <w:t>3等</w:t>
            </w:r>
          </w:p>
        </w:tc>
        <w:tc>
          <w:tcPr>
            <w:tcW w:w="1399" w:type="dxa"/>
            <w:vAlign w:val="center"/>
          </w:tcPr>
          <w:p w14:paraId="43E82363">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lang w:eastAsia="zh-CN"/>
              </w:rPr>
            </w:pPr>
            <w:r>
              <w:rPr>
                <w:rFonts w:hint="eastAsia" w:ascii="宋体" w:hAnsi="宋体" w:eastAsia="宋体" w:cs="宋体"/>
                <w:spacing w:val="-2"/>
                <w:sz w:val="21"/>
                <w:szCs w:val="21"/>
                <w:lang w:eastAsia="zh-CN"/>
              </w:rPr>
              <w:t>无灌溉条件，无土源保证</w:t>
            </w:r>
          </w:p>
        </w:tc>
        <w:tc>
          <w:tcPr>
            <w:tcW w:w="965" w:type="dxa"/>
            <w:vAlign w:val="center"/>
          </w:tcPr>
          <w:p w14:paraId="326DFA58">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无法</w:t>
            </w:r>
            <w:r>
              <w:rPr>
                <w:rFonts w:hint="eastAsia" w:ascii="宋体" w:hAnsi="宋体" w:eastAsia="宋体" w:cs="宋体"/>
                <w:spacing w:val="-2"/>
                <w:sz w:val="21"/>
                <w:szCs w:val="21"/>
                <w:lang w:eastAsia="zh-CN"/>
              </w:rPr>
              <w:t>修复</w:t>
            </w:r>
            <w:r>
              <w:rPr>
                <w:rFonts w:hint="eastAsia" w:ascii="宋体" w:hAnsi="宋体" w:eastAsia="宋体" w:cs="宋体"/>
                <w:spacing w:val="-2"/>
                <w:sz w:val="21"/>
                <w:szCs w:val="21"/>
              </w:rPr>
              <w:t>为旱地</w:t>
            </w:r>
          </w:p>
        </w:tc>
      </w:tr>
      <w:tr w14:paraId="2B0B7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1327" w:type="dxa"/>
            <w:vMerge w:val="continue"/>
            <w:vAlign w:val="center"/>
          </w:tcPr>
          <w:p w14:paraId="4952F1DE">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p>
        </w:tc>
        <w:tc>
          <w:tcPr>
            <w:tcW w:w="2750" w:type="dxa"/>
            <w:vMerge w:val="continue"/>
            <w:vAlign w:val="center"/>
          </w:tcPr>
          <w:p w14:paraId="135097DA">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p>
        </w:tc>
        <w:tc>
          <w:tcPr>
            <w:tcW w:w="1068" w:type="dxa"/>
            <w:vAlign w:val="center"/>
          </w:tcPr>
          <w:p w14:paraId="5CBE75A4">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林地评价</w:t>
            </w:r>
          </w:p>
        </w:tc>
        <w:tc>
          <w:tcPr>
            <w:tcW w:w="761" w:type="dxa"/>
            <w:vAlign w:val="center"/>
          </w:tcPr>
          <w:p w14:paraId="625937C5">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6"/>
                <w:sz w:val="21"/>
                <w:szCs w:val="21"/>
              </w:rPr>
            </w:pPr>
            <w:r>
              <w:rPr>
                <w:rFonts w:hint="eastAsia" w:ascii="宋体" w:hAnsi="宋体" w:eastAsia="宋体" w:cs="宋体"/>
                <w:spacing w:val="-6"/>
                <w:sz w:val="21"/>
                <w:szCs w:val="21"/>
              </w:rPr>
              <w:t>3等</w:t>
            </w:r>
          </w:p>
        </w:tc>
        <w:tc>
          <w:tcPr>
            <w:tcW w:w="1399" w:type="dxa"/>
            <w:vAlign w:val="center"/>
          </w:tcPr>
          <w:p w14:paraId="0AAA8C7F">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lang w:eastAsia="zh-CN"/>
              </w:rPr>
            </w:pPr>
            <w:r>
              <w:rPr>
                <w:rFonts w:hint="eastAsia" w:ascii="宋体" w:hAnsi="宋体" w:eastAsia="宋体" w:cs="宋体"/>
                <w:spacing w:val="-2"/>
                <w:sz w:val="21"/>
                <w:szCs w:val="21"/>
                <w:lang w:eastAsia="zh-CN"/>
              </w:rPr>
              <w:t>无灌溉条件，无土源保证</w:t>
            </w:r>
          </w:p>
        </w:tc>
        <w:tc>
          <w:tcPr>
            <w:tcW w:w="965" w:type="dxa"/>
            <w:vAlign w:val="center"/>
          </w:tcPr>
          <w:p w14:paraId="2ECFB02D">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无法</w:t>
            </w:r>
            <w:r>
              <w:rPr>
                <w:rFonts w:hint="eastAsia" w:ascii="宋体" w:hAnsi="宋体" w:eastAsia="宋体" w:cs="宋体"/>
                <w:spacing w:val="-2"/>
                <w:sz w:val="21"/>
                <w:szCs w:val="21"/>
                <w:lang w:eastAsia="zh-CN"/>
              </w:rPr>
              <w:t>修复</w:t>
            </w:r>
            <w:r>
              <w:rPr>
                <w:rFonts w:hint="eastAsia" w:ascii="宋体" w:hAnsi="宋体" w:eastAsia="宋体" w:cs="宋体"/>
                <w:spacing w:val="-2"/>
                <w:sz w:val="21"/>
                <w:szCs w:val="21"/>
              </w:rPr>
              <w:t>为林地</w:t>
            </w:r>
          </w:p>
        </w:tc>
      </w:tr>
      <w:tr w14:paraId="610DF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1327" w:type="dxa"/>
            <w:vMerge w:val="continue"/>
            <w:vAlign w:val="center"/>
          </w:tcPr>
          <w:p w14:paraId="420A0534">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p>
        </w:tc>
        <w:tc>
          <w:tcPr>
            <w:tcW w:w="2750" w:type="dxa"/>
            <w:vMerge w:val="continue"/>
            <w:vAlign w:val="center"/>
          </w:tcPr>
          <w:p w14:paraId="692053CF">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p>
        </w:tc>
        <w:tc>
          <w:tcPr>
            <w:tcW w:w="1068" w:type="dxa"/>
            <w:vAlign w:val="center"/>
          </w:tcPr>
          <w:p w14:paraId="29B8467E">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草地评价</w:t>
            </w:r>
          </w:p>
        </w:tc>
        <w:tc>
          <w:tcPr>
            <w:tcW w:w="761" w:type="dxa"/>
            <w:vAlign w:val="center"/>
          </w:tcPr>
          <w:p w14:paraId="5488E0DE">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6"/>
                <w:sz w:val="21"/>
                <w:szCs w:val="21"/>
              </w:rPr>
            </w:pPr>
            <w:r>
              <w:rPr>
                <w:rFonts w:hint="eastAsia" w:ascii="宋体" w:hAnsi="宋体" w:eastAsia="宋体" w:cs="宋体"/>
                <w:spacing w:val="-6"/>
                <w:sz w:val="21"/>
                <w:szCs w:val="21"/>
              </w:rPr>
              <w:t>3等</w:t>
            </w:r>
          </w:p>
        </w:tc>
        <w:tc>
          <w:tcPr>
            <w:tcW w:w="1399" w:type="dxa"/>
            <w:vAlign w:val="center"/>
          </w:tcPr>
          <w:p w14:paraId="196D884A">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lang w:eastAsia="zh-CN"/>
              </w:rPr>
            </w:pPr>
            <w:r>
              <w:rPr>
                <w:rFonts w:hint="eastAsia" w:ascii="宋体" w:hAnsi="宋体" w:eastAsia="宋体" w:cs="宋体"/>
                <w:spacing w:val="-2"/>
                <w:sz w:val="21"/>
                <w:szCs w:val="21"/>
                <w:lang w:eastAsia="zh-CN"/>
              </w:rPr>
              <w:t>无灌溉条件，无土源保证</w:t>
            </w:r>
          </w:p>
        </w:tc>
        <w:tc>
          <w:tcPr>
            <w:tcW w:w="965" w:type="dxa"/>
            <w:vAlign w:val="center"/>
          </w:tcPr>
          <w:p w14:paraId="41BFA12C">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无法</w:t>
            </w:r>
            <w:r>
              <w:rPr>
                <w:rFonts w:hint="eastAsia" w:ascii="宋体" w:hAnsi="宋体" w:eastAsia="宋体" w:cs="宋体"/>
                <w:spacing w:val="-2"/>
                <w:sz w:val="21"/>
                <w:szCs w:val="21"/>
                <w:lang w:eastAsia="zh-CN"/>
              </w:rPr>
              <w:t>修复</w:t>
            </w:r>
            <w:r>
              <w:rPr>
                <w:rFonts w:hint="eastAsia" w:ascii="宋体" w:hAnsi="宋体" w:eastAsia="宋体" w:cs="宋体"/>
                <w:spacing w:val="-2"/>
                <w:sz w:val="21"/>
                <w:szCs w:val="21"/>
              </w:rPr>
              <w:t>为草地</w:t>
            </w:r>
          </w:p>
        </w:tc>
      </w:tr>
    </w:tbl>
    <w:p w14:paraId="6B04C337">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bookmarkStart w:id="161" w:name="bookmark134"/>
      <w:bookmarkEnd w:id="161"/>
      <w:bookmarkStart w:id="162" w:name="bookmark135"/>
      <w:bookmarkEnd w:id="162"/>
      <w:bookmarkStart w:id="163" w:name="_Toc15442"/>
      <w:r>
        <w:rPr>
          <w:rFonts w:hint="eastAsia" w:ascii="宋体" w:hAnsi="宋体" w:eastAsia="宋体" w:cs="宋体"/>
          <w:spacing w:val="6"/>
          <w:sz w:val="28"/>
          <w:szCs w:val="28"/>
          <w:lang w:eastAsia="zh-CN"/>
        </w:rPr>
        <w:t>9、生态修复方向可行性</w:t>
      </w:r>
      <w:r>
        <w:rPr>
          <w:rFonts w:ascii="宋体" w:hAnsi="宋体" w:eastAsia="宋体" w:cs="宋体"/>
          <w:spacing w:val="6"/>
          <w:sz w:val="28"/>
          <w:szCs w:val="28"/>
          <w:lang w:eastAsia="zh-CN"/>
        </w:rPr>
        <w:t>评价结果分析</w:t>
      </w:r>
      <w:bookmarkEnd w:id="163"/>
    </w:p>
    <w:p w14:paraId="7C68154E">
      <w:pPr>
        <w:widowControl w:val="0"/>
        <w:kinsoku/>
        <w:adjustRightInd/>
        <w:snapToGrid/>
        <w:spacing w:line="360" w:lineRule="auto"/>
        <w:ind w:firstLine="584" w:firstLineChars="200"/>
        <w:jc w:val="both"/>
        <w:rPr>
          <w:rFonts w:hint="eastAsia" w:ascii="宋体" w:hAnsi="宋体" w:eastAsia="宋体" w:cs="宋体"/>
          <w:b/>
          <w:bCs/>
          <w:lang w:eastAsia="zh-CN"/>
        </w:rPr>
      </w:pPr>
      <w:r>
        <w:rPr>
          <w:rFonts w:ascii="宋体" w:hAnsi="宋体" w:eastAsia="宋体" w:cs="宋体"/>
          <w:spacing w:val="6"/>
          <w:sz w:val="28"/>
          <w:szCs w:val="28"/>
          <w:lang w:eastAsia="zh-CN"/>
        </w:rPr>
        <w:t>由</w:t>
      </w:r>
      <w:r>
        <w:rPr>
          <w:rFonts w:hint="eastAsia" w:ascii="宋体" w:hAnsi="宋体" w:eastAsia="宋体" w:cs="宋体"/>
          <w:spacing w:val="6"/>
          <w:sz w:val="28"/>
          <w:szCs w:val="28"/>
          <w:lang w:eastAsia="zh-CN"/>
        </w:rPr>
        <w:t>生态修复可行</w:t>
      </w:r>
      <w:r>
        <w:rPr>
          <w:rFonts w:ascii="宋体" w:hAnsi="宋体" w:eastAsia="宋体" w:cs="宋体"/>
          <w:spacing w:val="6"/>
          <w:sz w:val="28"/>
          <w:szCs w:val="28"/>
          <w:lang w:eastAsia="zh-CN"/>
        </w:rPr>
        <w:t>性评价过程可以看出，</w:t>
      </w:r>
      <w:r>
        <w:rPr>
          <w:rFonts w:hint="eastAsia" w:ascii="宋体" w:hAnsi="宋体" w:eastAsia="宋体" w:cs="宋体"/>
          <w:spacing w:val="6"/>
          <w:sz w:val="28"/>
          <w:szCs w:val="28"/>
          <w:lang w:eastAsia="zh-CN"/>
        </w:rPr>
        <w:t>修复区</w:t>
      </w:r>
      <w:r>
        <w:rPr>
          <w:rFonts w:ascii="宋体" w:hAnsi="宋体" w:eastAsia="宋体" w:cs="宋体"/>
          <w:spacing w:val="6"/>
          <w:sz w:val="28"/>
          <w:szCs w:val="28"/>
          <w:lang w:eastAsia="zh-CN"/>
        </w:rPr>
        <w:t>待</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土地存在差异性（见表</w:t>
      </w:r>
      <w:r>
        <w:rPr>
          <w:rFonts w:hint="eastAsia" w:ascii="宋体" w:hAnsi="宋体" w:eastAsia="宋体" w:cs="宋体"/>
          <w:spacing w:val="6"/>
          <w:sz w:val="28"/>
          <w:szCs w:val="28"/>
          <w:lang w:eastAsia="zh-CN"/>
        </w:rPr>
        <w:t>3-17</w:t>
      </w:r>
      <w:r>
        <w:rPr>
          <w:rFonts w:ascii="宋体" w:hAnsi="宋体" w:eastAsia="宋体" w:cs="宋体"/>
          <w:spacing w:val="6"/>
          <w:sz w:val="28"/>
          <w:szCs w:val="28"/>
          <w:lang w:eastAsia="zh-CN"/>
        </w:rPr>
        <w:t>），最终的</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利用方向需要综合考虑多方面的因素，针对各评价单元特征分别采用不同的评价方法进行</w:t>
      </w:r>
      <w:r>
        <w:rPr>
          <w:rFonts w:hint="eastAsia" w:ascii="宋体" w:hAnsi="宋体" w:eastAsia="宋体" w:cs="宋体"/>
          <w:spacing w:val="6"/>
          <w:sz w:val="28"/>
          <w:szCs w:val="28"/>
          <w:lang w:eastAsia="zh-CN"/>
        </w:rPr>
        <w:t>可行</w:t>
      </w:r>
      <w:r>
        <w:rPr>
          <w:rFonts w:ascii="宋体" w:hAnsi="宋体" w:eastAsia="宋体" w:cs="宋体"/>
          <w:spacing w:val="6"/>
          <w:sz w:val="28"/>
          <w:szCs w:val="28"/>
          <w:lang w:eastAsia="zh-CN"/>
        </w:rPr>
        <w:t>性等级评定。</w:t>
      </w:r>
    </w:p>
    <w:p w14:paraId="52D311F4">
      <w:pPr>
        <w:jc w:val="center"/>
        <w:rPr>
          <w:rFonts w:hint="eastAsia" w:ascii="宋体" w:hAnsi="宋体" w:eastAsia="宋体" w:cs="宋体"/>
          <w:b/>
          <w:bCs/>
          <w:lang w:eastAsia="zh-CN"/>
        </w:rPr>
      </w:pPr>
    </w:p>
    <w:p w14:paraId="3C718C68">
      <w:pPr>
        <w:jc w:val="center"/>
        <w:rPr>
          <w:rFonts w:hint="eastAsia" w:ascii="宋体" w:hAnsi="宋体" w:eastAsia="宋体" w:cs="宋体"/>
          <w:b/>
          <w:bCs/>
          <w:lang w:eastAsia="zh-CN"/>
        </w:rPr>
      </w:pPr>
    </w:p>
    <w:p w14:paraId="0F94EC30">
      <w:pPr>
        <w:jc w:val="center"/>
        <w:rPr>
          <w:rFonts w:hint="eastAsia" w:ascii="宋体" w:hAnsi="宋体" w:eastAsia="宋体" w:cs="宋体"/>
          <w:b/>
          <w:bCs/>
          <w:lang w:eastAsia="zh-CN"/>
        </w:rPr>
      </w:pPr>
    </w:p>
    <w:p w14:paraId="368DAA95">
      <w:pPr>
        <w:jc w:val="center"/>
        <w:rPr>
          <w:rFonts w:hint="eastAsia" w:ascii="宋体" w:hAnsi="宋体" w:eastAsia="宋体" w:cs="宋体"/>
          <w:b/>
          <w:bCs/>
          <w:lang w:eastAsia="zh-CN"/>
        </w:rPr>
      </w:pPr>
    </w:p>
    <w:p w14:paraId="7C36C374">
      <w:pPr>
        <w:jc w:val="center"/>
        <w:rPr>
          <w:rFonts w:hint="eastAsia" w:ascii="宋体" w:hAnsi="宋体" w:eastAsia="宋体" w:cs="宋体"/>
          <w:b/>
          <w:bCs/>
          <w:lang w:eastAsia="zh-CN"/>
        </w:rPr>
      </w:pPr>
    </w:p>
    <w:p w14:paraId="4E0D362A">
      <w:pPr>
        <w:jc w:val="center"/>
        <w:rPr>
          <w:rFonts w:hint="eastAsia" w:ascii="宋体" w:hAnsi="宋体" w:eastAsia="宋体" w:cs="宋体"/>
          <w:b/>
          <w:bCs/>
          <w:lang w:eastAsia="zh-CN"/>
        </w:rPr>
      </w:pPr>
    </w:p>
    <w:p w14:paraId="5E3DBB81">
      <w:pPr>
        <w:jc w:val="center"/>
        <w:rPr>
          <w:rFonts w:hint="eastAsia" w:ascii="宋体" w:hAnsi="宋体" w:eastAsia="宋体" w:cs="宋体"/>
          <w:b/>
          <w:bCs/>
          <w:lang w:eastAsia="zh-CN"/>
        </w:rPr>
      </w:pPr>
    </w:p>
    <w:p w14:paraId="186D23E2">
      <w:pPr>
        <w:jc w:val="center"/>
        <w:rPr>
          <w:rFonts w:hint="eastAsia" w:ascii="宋体" w:hAnsi="宋体" w:eastAsia="宋体" w:cs="宋体"/>
          <w:b/>
          <w:bCs/>
          <w:lang w:eastAsia="zh-CN"/>
        </w:rPr>
      </w:pPr>
    </w:p>
    <w:p w14:paraId="65B9661C">
      <w:pPr>
        <w:jc w:val="center"/>
        <w:rPr>
          <w:rFonts w:hint="eastAsia" w:ascii="宋体" w:hAnsi="宋体" w:eastAsia="宋体" w:cs="宋体"/>
          <w:b/>
          <w:bCs/>
          <w:lang w:eastAsia="zh-CN"/>
        </w:rPr>
      </w:pPr>
    </w:p>
    <w:p w14:paraId="33951EE5">
      <w:pPr>
        <w:jc w:val="center"/>
        <w:rPr>
          <w:rFonts w:hint="eastAsia" w:ascii="宋体" w:hAnsi="宋体" w:eastAsia="宋体" w:cs="宋体"/>
          <w:b/>
          <w:bCs/>
          <w:lang w:eastAsia="zh-CN"/>
        </w:rPr>
      </w:pPr>
      <w:r>
        <w:rPr>
          <w:rFonts w:hint="eastAsia" w:ascii="宋体" w:hAnsi="宋体" w:eastAsia="宋体" w:cs="宋体"/>
          <w:b/>
          <w:bCs/>
          <w:lang w:eastAsia="zh-CN"/>
        </w:rPr>
        <w:t>表3-17  生态修复可行性评价结果表</w:t>
      </w:r>
    </w:p>
    <w:tbl>
      <w:tblPr>
        <w:tblStyle w:val="22"/>
        <w:tblW w:w="8291"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8"/>
        <w:gridCol w:w="2044"/>
        <w:gridCol w:w="1290"/>
        <w:gridCol w:w="870"/>
        <w:gridCol w:w="870"/>
        <w:gridCol w:w="810"/>
        <w:gridCol w:w="1529"/>
      </w:tblGrid>
      <w:tr w14:paraId="67BD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878" w:type="dxa"/>
            <w:vAlign w:val="center"/>
          </w:tcPr>
          <w:p w14:paraId="7ACEFC6C">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lang w:eastAsia="zh-CN"/>
              </w:rPr>
            </w:pPr>
          </w:p>
        </w:tc>
        <w:tc>
          <w:tcPr>
            <w:tcW w:w="3334" w:type="dxa"/>
            <w:gridSpan w:val="2"/>
            <w:vAlign w:val="center"/>
          </w:tcPr>
          <w:p w14:paraId="71B6B524">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名称</w:t>
            </w:r>
          </w:p>
        </w:tc>
        <w:tc>
          <w:tcPr>
            <w:tcW w:w="2550" w:type="dxa"/>
            <w:gridSpan w:val="3"/>
            <w:vAlign w:val="center"/>
          </w:tcPr>
          <w:p w14:paraId="0950144D">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lang w:eastAsia="zh-CN"/>
              </w:rPr>
              <w:t>可行</w:t>
            </w:r>
            <w:r>
              <w:rPr>
                <w:rFonts w:hint="eastAsia" w:ascii="宋体" w:hAnsi="宋体" w:eastAsia="宋体" w:cs="宋体"/>
                <w:spacing w:val="-2"/>
                <w:sz w:val="21"/>
                <w:szCs w:val="21"/>
              </w:rPr>
              <w:t>性等级</w:t>
            </w:r>
          </w:p>
        </w:tc>
        <w:tc>
          <w:tcPr>
            <w:tcW w:w="1529" w:type="dxa"/>
            <w:vAlign w:val="center"/>
          </w:tcPr>
          <w:p w14:paraId="602788F1">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3"/>
                <w:sz w:val="21"/>
                <w:szCs w:val="21"/>
              </w:rPr>
              <w:t>限制因子/备注</w:t>
            </w:r>
          </w:p>
        </w:tc>
      </w:tr>
      <w:tr w14:paraId="5FF28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878" w:type="dxa"/>
            <w:vAlign w:val="center"/>
          </w:tcPr>
          <w:p w14:paraId="66B9743B">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序号</w:t>
            </w:r>
          </w:p>
        </w:tc>
        <w:tc>
          <w:tcPr>
            <w:tcW w:w="2044" w:type="dxa"/>
            <w:vAlign w:val="center"/>
          </w:tcPr>
          <w:p w14:paraId="73ACEF1F">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评价单元</w:t>
            </w:r>
          </w:p>
        </w:tc>
        <w:tc>
          <w:tcPr>
            <w:tcW w:w="1290" w:type="dxa"/>
            <w:vAlign w:val="center"/>
          </w:tcPr>
          <w:p w14:paraId="4C5E637C">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1"/>
                <w:sz w:val="21"/>
                <w:szCs w:val="21"/>
              </w:rPr>
              <w:t>面积（hm</w:t>
            </w:r>
            <w:r>
              <w:rPr>
                <w:rFonts w:hint="eastAsia" w:ascii="宋体" w:hAnsi="宋体" w:eastAsia="宋体" w:cs="宋体"/>
                <w:spacing w:val="-1"/>
                <w:sz w:val="21"/>
                <w:szCs w:val="21"/>
                <w:vertAlign w:val="superscript"/>
                <w:lang w:eastAsia="zh-CN"/>
              </w:rPr>
              <w:t>2</w:t>
            </w:r>
            <w:r>
              <w:rPr>
                <w:rFonts w:hint="eastAsia" w:ascii="宋体" w:hAnsi="宋体" w:eastAsia="宋体" w:cs="宋体"/>
                <w:spacing w:val="-1"/>
                <w:sz w:val="21"/>
                <w:szCs w:val="21"/>
              </w:rPr>
              <w:t>）</w:t>
            </w:r>
          </w:p>
        </w:tc>
        <w:tc>
          <w:tcPr>
            <w:tcW w:w="870" w:type="dxa"/>
            <w:vAlign w:val="center"/>
          </w:tcPr>
          <w:p w14:paraId="5C1B6330">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耕地</w:t>
            </w:r>
          </w:p>
        </w:tc>
        <w:tc>
          <w:tcPr>
            <w:tcW w:w="870" w:type="dxa"/>
            <w:vAlign w:val="center"/>
          </w:tcPr>
          <w:p w14:paraId="21B90BCB">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林地</w:t>
            </w:r>
          </w:p>
        </w:tc>
        <w:tc>
          <w:tcPr>
            <w:tcW w:w="810" w:type="dxa"/>
            <w:vAlign w:val="center"/>
          </w:tcPr>
          <w:p w14:paraId="53063F0A">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草地</w:t>
            </w:r>
          </w:p>
        </w:tc>
        <w:tc>
          <w:tcPr>
            <w:tcW w:w="1529" w:type="dxa"/>
            <w:vAlign w:val="center"/>
          </w:tcPr>
          <w:p w14:paraId="31AD49BC">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p>
        </w:tc>
      </w:tr>
      <w:tr w14:paraId="4A8F2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9" w:hRule="atLeast"/>
        </w:trPr>
        <w:tc>
          <w:tcPr>
            <w:tcW w:w="878" w:type="dxa"/>
            <w:vAlign w:val="center"/>
          </w:tcPr>
          <w:p w14:paraId="76749386">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z w:val="21"/>
                <w:szCs w:val="21"/>
              </w:rPr>
              <w:t>1</w:t>
            </w:r>
          </w:p>
        </w:tc>
        <w:tc>
          <w:tcPr>
            <w:tcW w:w="2044" w:type="dxa"/>
            <w:vAlign w:val="center"/>
          </w:tcPr>
          <w:p w14:paraId="714C65DA">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P1（</w:t>
            </w:r>
            <w:r>
              <w:rPr>
                <w:rFonts w:hint="eastAsia" w:ascii="宋体" w:hAnsi="宋体" w:eastAsia="宋体" w:cs="宋体"/>
                <w:spacing w:val="-2"/>
                <w:sz w:val="21"/>
                <w:szCs w:val="21"/>
                <w:lang w:eastAsia="zh-CN"/>
              </w:rPr>
              <w:t>采矿场地</w:t>
            </w:r>
            <w:r>
              <w:rPr>
                <w:rFonts w:hint="eastAsia" w:ascii="宋体" w:hAnsi="宋体" w:eastAsia="宋体" w:cs="宋体"/>
                <w:spacing w:val="-2"/>
                <w:sz w:val="21"/>
                <w:szCs w:val="21"/>
              </w:rPr>
              <w:t>）</w:t>
            </w:r>
          </w:p>
        </w:tc>
        <w:tc>
          <w:tcPr>
            <w:tcW w:w="1290" w:type="dxa"/>
            <w:vAlign w:val="center"/>
          </w:tcPr>
          <w:p w14:paraId="1AEC44DF">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default" w:ascii="宋体" w:hAnsi="宋体" w:eastAsia="宋体" w:cs="宋体"/>
                <w:sz w:val="21"/>
                <w:szCs w:val="21"/>
                <w:lang w:val="en-US" w:eastAsia="zh-CN"/>
              </w:rPr>
            </w:pPr>
            <w:r>
              <w:rPr>
                <w:rFonts w:hint="eastAsia" w:cs="宋体"/>
                <w:spacing w:val="-2"/>
                <w:sz w:val="21"/>
                <w:szCs w:val="21"/>
                <w:lang w:val="en-US" w:eastAsia="zh-CN"/>
              </w:rPr>
              <w:t>100</w:t>
            </w:r>
          </w:p>
        </w:tc>
        <w:tc>
          <w:tcPr>
            <w:tcW w:w="870" w:type="dxa"/>
            <w:vAlign w:val="center"/>
          </w:tcPr>
          <w:p w14:paraId="751AEF68">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870" w:type="dxa"/>
            <w:vAlign w:val="center"/>
          </w:tcPr>
          <w:p w14:paraId="255F652A">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810" w:type="dxa"/>
            <w:vAlign w:val="center"/>
          </w:tcPr>
          <w:p w14:paraId="57B8C3D0">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1529" w:type="dxa"/>
            <w:vAlign w:val="center"/>
          </w:tcPr>
          <w:p w14:paraId="663CEE4F">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lang w:eastAsia="zh-CN"/>
              </w:rPr>
            </w:pPr>
            <w:r>
              <w:rPr>
                <w:rFonts w:hint="eastAsia" w:ascii="宋体" w:hAnsi="宋体" w:eastAsia="宋体" w:cs="宋体"/>
                <w:spacing w:val="-2"/>
                <w:sz w:val="21"/>
                <w:szCs w:val="21"/>
                <w:lang w:eastAsia="zh-CN"/>
              </w:rPr>
              <w:t>无灌溉条件，无土源保证</w:t>
            </w:r>
          </w:p>
        </w:tc>
      </w:tr>
      <w:tr w14:paraId="3A9B1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4" w:hRule="atLeast"/>
        </w:trPr>
        <w:tc>
          <w:tcPr>
            <w:tcW w:w="878" w:type="dxa"/>
            <w:vAlign w:val="center"/>
          </w:tcPr>
          <w:p w14:paraId="71EB809C">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z w:val="21"/>
                <w:szCs w:val="21"/>
              </w:rPr>
              <w:t>2</w:t>
            </w:r>
          </w:p>
        </w:tc>
        <w:tc>
          <w:tcPr>
            <w:tcW w:w="2044" w:type="dxa"/>
            <w:vAlign w:val="center"/>
          </w:tcPr>
          <w:p w14:paraId="72B1E212">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P2（</w:t>
            </w:r>
            <w:r>
              <w:rPr>
                <w:rFonts w:hint="eastAsia" w:ascii="宋体" w:hAnsi="宋体" w:eastAsia="宋体" w:cs="宋体"/>
                <w:spacing w:val="-2"/>
                <w:sz w:val="21"/>
                <w:szCs w:val="21"/>
                <w:lang w:eastAsia="zh-CN"/>
              </w:rPr>
              <w:t>工业场地</w:t>
            </w:r>
            <w:r>
              <w:rPr>
                <w:rFonts w:hint="eastAsia" w:ascii="宋体" w:hAnsi="宋体" w:eastAsia="宋体" w:cs="宋体"/>
                <w:spacing w:val="-2"/>
                <w:sz w:val="21"/>
                <w:szCs w:val="21"/>
              </w:rPr>
              <w:t>）</w:t>
            </w:r>
          </w:p>
        </w:tc>
        <w:tc>
          <w:tcPr>
            <w:tcW w:w="1290" w:type="dxa"/>
            <w:vAlign w:val="center"/>
          </w:tcPr>
          <w:p w14:paraId="2D3AC10E">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default" w:ascii="宋体" w:hAnsi="宋体" w:eastAsia="宋体" w:cs="宋体"/>
                <w:sz w:val="21"/>
                <w:szCs w:val="21"/>
                <w:lang w:val="en-US" w:eastAsia="zh-CN"/>
              </w:rPr>
            </w:pPr>
            <w:r>
              <w:rPr>
                <w:rFonts w:hint="eastAsia" w:cs="宋体"/>
                <w:spacing w:val="-2"/>
                <w:sz w:val="21"/>
                <w:szCs w:val="21"/>
                <w:lang w:val="en-US" w:eastAsia="zh-CN"/>
              </w:rPr>
              <w:t>4.23</w:t>
            </w:r>
          </w:p>
        </w:tc>
        <w:tc>
          <w:tcPr>
            <w:tcW w:w="870" w:type="dxa"/>
            <w:vAlign w:val="center"/>
          </w:tcPr>
          <w:p w14:paraId="420CFAF2">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870" w:type="dxa"/>
            <w:vAlign w:val="center"/>
          </w:tcPr>
          <w:p w14:paraId="0703ECFC">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810" w:type="dxa"/>
            <w:vAlign w:val="center"/>
          </w:tcPr>
          <w:p w14:paraId="3CA73592">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1529" w:type="dxa"/>
            <w:vAlign w:val="center"/>
          </w:tcPr>
          <w:p w14:paraId="75BEFA74">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lang w:eastAsia="zh-CN"/>
              </w:rPr>
            </w:pPr>
            <w:r>
              <w:rPr>
                <w:rFonts w:hint="eastAsia" w:ascii="宋体" w:hAnsi="宋体" w:eastAsia="宋体" w:cs="宋体"/>
                <w:spacing w:val="-2"/>
                <w:sz w:val="21"/>
                <w:szCs w:val="21"/>
                <w:lang w:eastAsia="zh-CN"/>
              </w:rPr>
              <w:t>无灌溉条件，无土源保证</w:t>
            </w:r>
          </w:p>
        </w:tc>
      </w:tr>
      <w:tr w14:paraId="18E3E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trPr>
        <w:tc>
          <w:tcPr>
            <w:tcW w:w="878" w:type="dxa"/>
            <w:vAlign w:val="center"/>
          </w:tcPr>
          <w:p w14:paraId="6B6291AF">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z w:val="21"/>
                <w:szCs w:val="21"/>
              </w:rPr>
              <w:t>3</w:t>
            </w:r>
          </w:p>
        </w:tc>
        <w:tc>
          <w:tcPr>
            <w:tcW w:w="2044" w:type="dxa"/>
            <w:vAlign w:val="center"/>
          </w:tcPr>
          <w:p w14:paraId="3F7BDB03">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2"/>
                <w:sz w:val="21"/>
                <w:szCs w:val="21"/>
                <w:lang w:eastAsia="zh-CN"/>
              </w:rPr>
              <w:t>P</w:t>
            </w:r>
            <w:r>
              <w:rPr>
                <w:rFonts w:hint="eastAsia" w:ascii="宋体" w:hAnsi="宋体" w:eastAsia="宋体" w:cs="宋体"/>
                <w:spacing w:val="-2"/>
                <w:sz w:val="21"/>
                <w:szCs w:val="21"/>
                <w:lang w:val="en-US" w:eastAsia="zh-CN"/>
              </w:rPr>
              <w:t>3</w:t>
            </w:r>
            <w:r>
              <w:rPr>
                <w:rFonts w:hint="eastAsia" w:ascii="宋体" w:hAnsi="宋体" w:eastAsia="宋体" w:cs="宋体"/>
                <w:spacing w:val="-2"/>
                <w:sz w:val="21"/>
                <w:szCs w:val="21"/>
                <w:lang w:eastAsia="zh-CN"/>
              </w:rPr>
              <w:t>（矿山道路）</w:t>
            </w:r>
          </w:p>
        </w:tc>
        <w:tc>
          <w:tcPr>
            <w:tcW w:w="1290" w:type="dxa"/>
            <w:vAlign w:val="center"/>
          </w:tcPr>
          <w:p w14:paraId="0D8DE66C">
            <w:pPr>
              <w:pStyle w:val="23"/>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default" w:ascii="宋体" w:hAnsi="宋体" w:eastAsia="宋体" w:cs="宋体"/>
                <w:sz w:val="21"/>
                <w:szCs w:val="21"/>
                <w:lang w:val="en-US" w:eastAsia="zh-CN"/>
              </w:rPr>
            </w:pPr>
            <w:r>
              <w:rPr>
                <w:rFonts w:hint="eastAsia" w:ascii="宋体" w:hAnsi="宋体" w:eastAsia="宋体" w:cs="宋体"/>
                <w:spacing w:val="-2"/>
                <w:sz w:val="21"/>
                <w:szCs w:val="21"/>
                <w:lang w:val="en-US" w:eastAsia="zh-CN"/>
              </w:rPr>
              <w:t>0.2</w:t>
            </w:r>
            <w:r>
              <w:rPr>
                <w:rFonts w:hint="eastAsia" w:cs="宋体"/>
                <w:spacing w:val="-2"/>
                <w:sz w:val="21"/>
                <w:szCs w:val="21"/>
                <w:lang w:val="en-US" w:eastAsia="zh-CN"/>
              </w:rPr>
              <w:t>4</w:t>
            </w:r>
          </w:p>
        </w:tc>
        <w:tc>
          <w:tcPr>
            <w:tcW w:w="870" w:type="dxa"/>
            <w:vAlign w:val="center"/>
          </w:tcPr>
          <w:p w14:paraId="17CD7908">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870" w:type="dxa"/>
            <w:vAlign w:val="center"/>
          </w:tcPr>
          <w:p w14:paraId="40A8D96F">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810" w:type="dxa"/>
            <w:vAlign w:val="center"/>
          </w:tcPr>
          <w:p w14:paraId="28AA53A3">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3等</w:t>
            </w:r>
          </w:p>
        </w:tc>
        <w:tc>
          <w:tcPr>
            <w:tcW w:w="1529" w:type="dxa"/>
            <w:vAlign w:val="center"/>
          </w:tcPr>
          <w:p w14:paraId="295765AA">
            <w:pPr>
              <w:keepNext w:val="0"/>
              <w:keepLines w:val="0"/>
              <w:pageBreakBefore w:val="0"/>
              <w:widowControl w:val="0"/>
              <w:kinsoku/>
              <w:wordWrap/>
              <w:overflowPunct/>
              <w:topLinePunct w:val="0"/>
              <w:autoSpaceDE w:val="0"/>
              <w:autoSpaceDN w:val="0"/>
              <w:bidi w:val="0"/>
              <w:adjustRightInd/>
              <w:snapToGrid/>
              <w:spacing w:line="240" w:lineRule="auto"/>
              <w:ind w:left="0"/>
              <w:jc w:val="center"/>
              <w:textAlignment w:val="baseline"/>
              <w:rPr>
                <w:rFonts w:hint="eastAsia" w:ascii="宋体" w:hAnsi="宋体" w:eastAsia="宋体" w:cs="宋体"/>
                <w:sz w:val="21"/>
                <w:szCs w:val="21"/>
                <w:lang w:eastAsia="zh-CN"/>
              </w:rPr>
            </w:pPr>
            <w:r>
              <w:rPr>
                <w:rFonts w:hint="eastAsia" w:ascii="宋体" w:hAnsi="宋体" w:eastAsia="宋体" w:cs="宋体"/>
                <w:spacing w:val="-2"/>
                <w:sz w:val="21"/>
                <w:szCs w:val="21"/>
                <w:lang w:eastAsia="zh-CN"/>
              </w:rPr>
              <w:t>无灌溉条件，无土源保证</w:t>
            </w:r>
          </w:p>
        </w:tc>
      </w:tr>
    </w:tbl>
    <w:p w14:paraId="02CFC80B">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164" w:name="bookmark137"/>
      <w:bookmarkEnd w:id="164"/>
      <w:bookmarkStart w:id="165" w:name="bookmark136"/>
      <w:bookmarkEnd w:id="165"/>
      <w:bookmarkStart w:id="166" w:name="bookmark118"/>
      <w:bookmarkEnd w:id="166"/>
      <w:bookmarkStart w:id="167" w:name="bookmark117"/>
      <w:bookmarkEnd w:id="167"/>
      <w:bookmarkStart w:id="168" w:name="_Toc27792"/>
      <w:bookmarkStart w:id="169" w:name="_Toc10338"/>
      <w:r>
        <w:rPr>
          <w:rFonts w:hint="eastAsia" w:ascii="宋体" w:hAnsi="宋体" w:eastAsia="宋体" w:cs="宋体"/>
          <w:sz w:val="28"/>
          <w:szCs w:val="28"/>
          <w:lang w:eastAsia="zh-CN"/>
        </w:rPr>
        <w:t>（三）边开采、边修复可行性分析</w:t>
      </w:r>
      <w:bookmarkEnd w:id="168"/>
      <w:bookmarkEnd w:id="169"/>
    </w:p>
    <w:p w14:paraId="256250FC">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val="en-US" w:eastAsia="zh-CN"/>
        </w:rPr>
        <w:t>矿区地处格尔木市南侧的空旷戈壁砾石带，深居内陆，远离海洋，属典型的大陆性高原气候。气候特征表现为干旱少雨，日照强烈、蒸发量大、多风、气压及含氧量低、日温差大、冬季漫长寒冷，夏季凉爽短促。据格尔木市气象站资料，矿区多年平均气温6.7℃，气温最高月(7月)平均气温17.8℃，气温最低月(1月)平均气温-8.9℃，极端高温35℃，极端低温-33.6℃。年平均降水量41.8mm，年平均蒸发量2392.6mm，日照时间长</w:t>
      </w:r>
      <w:r>
        <w:rPr>
          <w:rFonts w:hint="eastAsia" w:ascii="宋体" w:hAnsi="宋体" w:eastAsia="宋体" w:cs="宋体"/>
          <w:sz w:val="28"/>
          <w:szCs w:val="28"/>
          <w:lang w:eastAsia="zh-CN"/>
        </w:rPr>
        <w:t>。</w:t>
      </w:r>
    </w:p>
    <w:p w14:paraId="10267958">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地表土壤形成于干燥剥蚀条件下，土体干燥，表层细土物质多受风力作用搬运，土层浅薄，有机质积累少，成壤作用微弱，表层有机质仅有0.26-0.82%，因此在矿山开采过程中，既要考虑治理工作的经济性和便捷性，更应该考虑当地生态环境的承受能力。矿区无植被发育，土层有机质含量低，保水能力不强，是当地生态环境的主要特征</w:t>
      </w:r>
      <w:r>
        <w:rPr>
          <w:rFonts w:hint="eastAsia" w:ascii="宋体" w:hAnsi="宋体" w:eastAsia="宋体" w:cs="宋体"/>
          <w:spacing w:val="6"/>
          <w:sz w:val="28"/>
          <w:szCs w:val="28"/>
          <w:lang w:eastAsia="zh-CN"/>
        </w:rPr>
        <w:t>。考虑到这些特征，矿山在开采过程中，进行土地平整，能够有效地减缓土地坡度，</w:t>
      </w:r>
      <w:r>
        <w:rPr>
          <w:rFonts w:hint="eastAsia" w:ascii="宋体" w:hAnsi="宋体" w:eastAsia="宋体" w:cs="宋体"/>
          <w:sz w:val="28"/>
          <w:szCs w:val="28"/>
          <w:lang w:eastAsia="zh-CN"/>
        </w:rPr>
        <w:t>这样有利于适应当地的天气状况，对于当地脆弱生态系统的培育十分有利。</w:t>
      </w:r>
    </w:p>
    <w:p w14:paraId="2F09CEEE">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170" w:name="bookmark119"/>
      <w:bookmarkEnd w:id="170"/>
      <w:bookmarkStart w:id="171" w:name="bookmark139"/>
      <w:bookmarkEnd w:id="171"/>
      <w:bookmarkStart w:id="172" w:name="bookmark120"/>
      <w:bookmarkEnd w:id="172"/>
      <w:bookmarkStart w:id="173" w:name="bookmark138"/>
      <w:bookmarkEnd w:id="173"/>
      <w:bookmarkStart w:id="174" w:name="_Toc9956"/>
      <w:r>
        <w:rPr>
          <w:rFonts w:hint="eastAsia" w:ascii="宋体" w:hAnsi="宋体" w:eastAsia="宋体" w:cs="宋体"/>
          <w:sz w:val="30"/>
          <w:szCs w:val="30"/>
          <w:lang w:eastAsia="zh-CN"/>
        </w:rPr>
        <w:t>三、生态修复分区及修复时序安排</w:t>
      </w:r>
      <w:bookmarkEnd w:id="174"/>
    </w:p>
    <w:p w14:paraId="26544F83">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175" w:name="bookmark141"/>
      <w:bookmarkEnd w:id="175"/>
      <w:bookmarkStart w:id="176" w:name="bookmark140"/>
      <w:bookmarkEnd w:id="176"/>
      <w:bookmarkStart w:id="177" w:name="_Toc18473"/>
      <w:bookmarkStart w:id="178" w:name="_Toc7175"/>
      <w:r>
        <w:rPr>
          <w:rFonts w:hint="eastAsia" w:ascii="宋体" w:hAnsi="宋体" w:eastAsia="宋体" w:cs="宋体"/>
          <w:sz w:val="28"/>
          <w:szCs w:val="28"/>
          <w:lang w:eastAsia="zh-CN"/>
        </w:rPr>
        <w:t>（一）生态修复分区</w:t>
      </w:r>
      <w:bookmarkEnd w:id="177"/>
    </w:p>
    <w:p w14:paraId="0B7B2045">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ascii="宋体" w:hAnsi="宋体" w:eastAsia="宋体" w:cs="宋体"/>
          <w:spacing w:val="6"/>
          <w:sz w:val="28"/>
          <w:szCs w:val="28"/>
          <w:lang w:eastAsia="zh-CN"/>
        </w:rPr>
        <w:t>通过定性分析，待</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土地存在多宜性，最终</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方向的确定需要综合考虑自然生态环境与经济因素、政策因素及公众参与建议，确定该矿各评价单元最终</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方向。最终</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方向确定的优选依据如下：</w:t>
      </w:r>
    </w:p>
    <w:p w14:paraId="0D91BC14">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1、</w:t>
      </w:r>
      <w:r>
        <w:rPr>
          <w:rFonts w:ascii="宋体" w:hAnsi="宋体" w:eastAsia="宋体" w:cs="宋体"/>
          <w:spacing w:val="6"/>
          <w:sz w:val="28"/>
          <w:szCs w:val="28"/>
          <w:lang w:eastAsia="zh-CN"/>
        </w:rPr>
        <w:t>F1（</w:t>
      </w:r>
      <w:r>
        <w:rPr>
          <w:rFonts w:hint="eastAsia" w:ascii="宋体" w:hAnsi="宋体" w:eastAsia="宋体" w:cs="宋体"/>
          <w:spacing w:val="6"/>
          <w:sz w:val="28"/>
          <w:szCs w:val="28"/>
          <w:lang w:eastAsia="zh-CN"/>
        </w:rPr>
        <w:t>采矿场地</w:t>
      </w:r>
      <w:r>
        <w:rPr>
          <w:rFonts w:ascii="宋体" w:hAnsi="宋体" w:eastAsia="宋体" w:cs="宋体"/>
          <w:spacing w:val="6"/>
          <w:sz w:val="28"/>
          <w:szCs w:val="28"/>
          <w:lang w:eastAsia="zh-CN"/>
        </w:rPr>
        <w:t>）：</w:t>
      </w:r>
      <w:r>
        <w:rPr>
          <w:rFonts w:hint="eastAsia" w:ascii="宋体" w:hAnsi="宋体" w:eastAsia="宋体" w:cs="宋体"/>
          <w:spacing w:val="6"/>
          <w:sz w:val="28"/>
          <w:szCs w:val="28"/>
          <w:lang w:eastAsia="zh-CN"/>
        </w:rPr>
        <w:t>可行</w:t>
      </w:r>
      <w:r>
        <w:rPr>
          <w:rFonts w:ascii="宋体" w:hAnsi="宋体" w:eastAsia="宋体" w:cs="宋体"/>
          <w:spacing w:val="6"/>
          <w:sz w:val="28"/>
          <w:szCs w:val="28"/>
          <w:lang w:eastAsia="zh-CN"/>
        </w:rPr>
        <w:t>性等级评定的结果显示，其不具备</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为耕地、林地及草地的立体条件，为契合矿区实际及周边环境，确定将</w:t>
      </w:r>
      <w:r>
        <w:rPr>
          <w:rFonts w:hint="eastAsia" w:ascii="宋体" w:hAnsi="宋体" w:eastAsia="宋体" w:cs="宋体"/>
          <w:spacing w:val="6"/>
          <w:sz w:val="28"/>
          <w:szCs w:val="28"/>
          <w:lang w:eastAsia="zh-CN"/>
        </w:rPr>
        <w:t>采矿场地修复</w:t>
      </w:r>
      <w:r>
        <w:rPr>
          <w:rFonts w:ascii="宋体" w:hAnsi="宋体" w:eastAsia="宋体" w:cs="宋体"/>
          <w:spacing w:val="6"/>
          <w:sz w:val="28"/>
          <w:szCs w:val="28"/>
          <w:lang w:eastAsia="zh-CN"/>
        </w:rPr>
        <w:t>为</w:t>
      </w:r>
      <w:r>
        <w:rPr>
          <w:rFonts w:hint="eastAsia" w:ascii="宋体" w:hAnsi="宋体" w:eastAsia="宋体" w:cs="宋体"/>
          <w:spacing w:val="6"/>
          <w:sz w:val="28"/>
          <w:szCs w:val="28"/>
          <w:lang w:eastAsia="zh-CN"/>
        </w:rPr>
        <w:t>沙地</w:t>
      </w:r>
      <w:r>
        <w:rPr>
          <w:rFonts w:ascii="宋体" w:hAnsi="宋体" w:eastAsia="宋体" w:cs="宋体"/>
          <w:spacing w:val="6"/>
          <w:sz w:val="28"/>
          <w:szCs w:val="28"/>
          <w:lang w:eastAsia="zh-CN"/>
        </w:rPr>
        <w:t>。</w:t>
      </w:r>
    </w:p>
    <w:p w14:paraId="2AE909E8">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2、</w:t>
      </w:r>
      <w:r>
        <w:rPr>
          <w:rFonts w:ascii="宋体" w:hAnsi="宋体" w:eastAsia="宋体" w:cs="宋体"/>
          <w:spacing w:val="6"/>
          <w:sz w:val="28"/>
          <w:szCs w:val="28"/>
          <w:lang w:eastAsia="zh-CN"/>
        </w:rPr>
        <w:t>F2（</w:t>
      </w:r>
      <w:r>
        <w:rPr>
          <w:rFonts w:hint="eastAsia" w:ascii="宋体" w:hAnsi="宋体" w:eastAsia="宋体" w:cs="宋体"/>
          <w:spacing w:val="6"/>
          <w:sz w:val="28"/>
          <w:szCs w:val="28"/>
          <w:lang w:eastAsia="zh-CN"/>
        </w:rPr>
        <w:t>工业场地</w:t>
      </w:r>
      <w:r>
        <w:rPr>
          <w:rFonts w:ascii="宋体" w:hAnsi="宋体" w:eastAsia="宋体" w:cs="宋体"/>
          <w:spacing w:val="6"/>
          <w:sz w:val="28"/>
          <w:szCs w:val="28"/>
          <w:lang w:eastAsia="zh-CN"/>
        </w:rPr>
        <w:t>）：</w:t>
      </w:r>
      <w:r>
        <w:rPr>
          <w:rFonts w:hint="eastAsia" w:ascii="宋体" w:hAnsi="宋体" w:eastAsia="宋体" w:cs="宋体"/>
          <w:spacing w:val="6"/>
          <w:sz w:val="28"/>
          <w:szCs w:val="28"/>
          <w:lang w:eastAsia="zh-CN"/>
        </w:rPr>
        <w:t>可行</w:t>
      </w:r>
      <w:r>
        <w:rPr>
          <w:rFonts w:ascii="宋体" w:hAnsi="宋体" w:eastAsia="宋体" w:cs="宋体"/>
          <w:spacing w:val="6"/>
          <w:sz w:val="28"/>
          <w:szCs w:val="28"/>
          <w:lang w:eastAsia="zh-CN"/>
        </w:rPr>
        <w:t>性等级评定的结果显示，其不具备</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为耕地、林地及草地的立体条件，</w:t>
      </w:r>
      <w:r>
        <w:rPr>
          <w:rFonts w:hint="eastAsia" w:ascii="宋体" w:hAnsi="宋体" w:eastAsia="宋体" w:cs="宋体"/>
          <w:spacing w:val="6"/>
          <w:sz w:val="28"/>
          <w:szCs w:val="28"/>
          <w:lang w:eastAsia="zh-CN"/>
        </w:rPr>
        <w:t>确定将工业场地修复</w:t>
      </w:r>
      <w:r>
        <w:rPr>
          <w:rFonts w:ascii="宋体" w:hAnsi="宋体" w:eastAsia="宋体" w:cs="宋体"/>
          <w:spacing w:val="6"/>
          <w:sz w:val="28"/>
          <w:szCs w:val="28"/>
          <w:lang w:eastAsia="zh-CN"/>
        </w:rPr>
        <w:t>为</w:t>
      </w:r>
      <w:r>
        <w:rPr>
          <w:rFonts w:hint="eastAsia" w:ascii="宋体" w:hAnsi="宋体" w:eastAsia="宋体" w:cs="宋体"/>
          <w:spacing w:val="6"/>
          <w:sz w:val="28"/>
          <w:szCs w:val="28"/>
          <w:lang w:eastAsia="zh-CN"/>
        </w:rPr>
        <w:t>沙地</w:t>
      </w:r>
      <w:r>
        <w:rPr>
          <w:rFonts w:ascii="宋体" w:hAnsi="宋体" w:eastAsia="宋体" w:cs="宋体"/>
          <w:spacing w:val="6"/>
          <w:sz w:val="28"/>
          <w:szCs w:val="28"/>
          <w:lang w:eastAsia="zh-CN"/>
        </w:rPr>
        <w:t>。</w:t>
      </w:r>
    </w:p>
    <w:p w14:paraId="57548AA9">
      <w:pPr>
        <w:widowControl w:val="0"/>
        <w:kinsoku/>
        <w:adjustRightInd/>
        <w:snapToGrid/>
        <w:spacing w:line="360" w:lineRule="auto"/>
        <w:ind w:firstLine="584" w:firstLineChars="200"/>
        <w:jc w:val="both"/>
        <w:rPr>
          <w:rFonts w:ascii="宋体" w:hAnsi="宋体" w:eastAsia="宋体" w:cs="宋体"/>
          <w:spacing w:val="6"/>
          <w:sz w:val="28"/>
          <w:szCs w:val="28"/>
          <w:lang w:eastAsia="zh-CN"/>
        </w:rPr>
      </w:pPr>
      <w:r>
        <w:rPr>
          <w:rFonts w:hint="eastAsia" w:ascii="宋体" w:hAnsi="宋体" w:eastAsia="宋体" w:cs="宋体"/>
          <w:spacing w:val="6"/>
          <w:sz w:val="28"/>
          <w:szCs w:val="28"/>
          <w:lang w:val="en-US" w:eastAsia="zh-CN"/>
        </w:rPr>
        <w:t>3</w:t>
      </w:r>
      <w:r>
        <w:rPr>
          <w:rFonts w:hint="eastAsia" w:ascii="宋体" w:hAnsi="宋体" w:eastAsia="宋体" w:cs="宋体"/>
          <w:spacing w:val="6"/>
          <w:sz w:val="28"/>
          <w:szCs w:val="28"/>
          <w:lang w:eastAsia="zh-CN"/>
        </w:rPr>
        <w:t>、F</w:t>
      </w:r>
      <w:r>
        <w:rPr>
          <w:rFonts w:hint="eastAsia" w:ascii="宋体" w:hAnsi="宋体" w:eastAsia="宋体" w:cs="宋体"/>
          <w:spacing w:val="6"/>
          <w:sz w:val="28"/>
          <w:szCs w:val="28"/>
          <w:lang w:val="en-US" w:eastAsia="zh-CN"/>
        </w:rPr>
        <w:t>3</w:t>
      </w:r>
      <w:r>
        <w:rPr>
          <w:rFonts w:hint="eastAsia" w:ascii="宋体" w:hAnsi="宋体" w:eastAsia="宋体" w:cs="宋体"/>
          <w:spacing w:val="6"/>
          <w:sz w:val="28"/>
          <w:szCs w:val="28"/>
          <w:lang w:eastAsia="zh-CN"/>
        </w:rPr>
        <w:t>（矿山道路）：可行</w:t>
      </w:r>
      <w:r>
        <w:rPr>
          <w:rFonts w:ascii="宋体" w:hAnsi="宋体" w:eastAsia="宋体" w:cs="宋体"/>
          <w:spacing w:val="6"/>
          <w:sz w:val="28"/>
          <w:szCs w:val="28"/>
          <w:lang w:eastAsia="zh-CN"/>
        </w:rPr>
        <w:t>性等级评定的结果显示，其不具备</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为耕地、林地及草地的立体条件，为契合矿区实际及周边环境，确定将</w:t>
      </w:r>
      <w:r>
        <w:rPr>
          <w:rFonts w:hint="eastAsia" w:ascii="宋体" w:hAnsi="宋体" w:eastAsia="宋体" w:cs="宋体"/>
          <w:spacing w:val="6"/>
          <w:sz w:val="28"/>
          <w:szCs w:val="28"/>
          <w:lang w:eastAsia="zh-CN"/>
        </w:rPr>
        <w:t>矿山道路修复</w:t>
      </w:r>
      <w:r>
        <w:rPr>
          <w:rFonts w:ascii="宋体" w:hAnsi="宋体" w:eastAsia="宋体" w:cs="宋体"/>
          <w:spacing w:val="6"/>
          <w:sz w:val="28"/>
          <w:szCs w:val="28"/>
          <w:lang w:eastAsia="zh-CN"/>
        </w:rPr>
        <w:t>为</w:t>
      </w:r>
      <w:r>
        <w:rPr>
          <w:rFonts w:hint="eastAsia" w:ascii="宋体" w:hAnsi="宋体" w:eastAsia="宋体" w:cs="宋体"/>
          <w:spacing w:val="6"/>
          <w:sz w:val="28"/>
          <w:szCs w:val="28"/>
          <w:lang w:eastAsia="zh-CN"/>
        </w:rPr>
        <w:t>沙地</w:t>
      </w:r>
      <w:r>
        <w:rPr>
          <w:rFonts w:ascii="宋体" w:hAnsi="宋体" w:eastAsia="宋体" w:cs="宋体"/>
          <w:spacing w:val="6"/>
          <w:sz w:val="28"/>
          <w:szCs w:val="28"/>
          <w:lang w:eastAsia="zh-CN"/>
        </w:rPr>
        <w:t>。</w:t>
      </w:r>
    </w:p>
    <w:p w14:paraId="7DC35385">
      <w:pPr>
        <w:widowControl w:val="0"/>
        <w:kinsoku/>
        <w:adjustRightInd/>
        <w:snapToGrid/>
        <w:spacing w:line="360" w:lineRule="auto"/>
        <w:ind w:firstLine="584" w:firstLineChars="200"/>
        <w:jc w:val="both"/>
        <w:rPr>
          <w:rFonts w:hint="eastAsia" w:ascii="宋体" w:hAnsi="宋体" w:eastAsia="宋体" w:cs="宋体"/>
          <w:spacing w:val="6"/>
          <w:sz w:val="28"/>
          <w:szCs w:val="28"/>
          <w:lang w:eastAsia="zh-CN"/>
        </w:rPr>
      </w:pPr>
      <w:r>
        <w:rPr>
          <w:rFonts w:ascii="宋体" w:hAnsi="宋体" w:eastAsia="宋体" w:cs="宋体"/>
          <w:spacing w:val="6"/>
          <w:sz w:val="28"/>
          <w:szCs w:val="28"/>
          <w:lang w:eastAsia="zh-CN"/>
        </w:rPr>
        <w:t>根据各评价单元的相似性，最终将</w:t>
      </w:r>
      <w:r>
        <w:rPr>
          <w:rFonts w:hint="eastAsia" w:ascii="宋体" w:hAnsi="宋体" w:eastAsia="宋体" w:cs="宋体"/>
          <w:spacing w:val="6"/>
          <w:sz w:val="28"/>
          <w:szCs w:val="28"/>
          <w:lang w:eastAsia="zh-CN"/>
        </w:rPr>
        <w:t>修复区</w:t>
      </w:r>
      <w:r>
        <w:rPr>
          <w:rFonts w:ascii="宋体" w:hAnsi="宋体" w:eastAsia="宋体" w:cs="宋体"/>
          <w:spacing w:val="6"/>
          <w:sz w:val="28"/>
          <w:szCs w:val="28"/>
          <w:lang w:eastAsia="zh-CN"/>
        </w:rPr>
        <w:t>划分为</w:t>
      </w:r>
      <w:r>
        <w:rPr>
          <w:rFonts w:hint="eastAsia" w:ascii="宋体" w:hAnsi="宋体" w:eastAsia="宋体" w:cs="宋体"/>
          <w:spacing w:val="6"/>
          <w:sz w:val="28"/>
          <w:szCs w:val="28"/>
          <w:lang w:eastAsia="zh-CN"/>
        </w:rPr>
        <w:t>三</w:t>
      </w:r>
      <w:r>
        <w:rPr>
          <w:rFonts w:ascii="宋体" w:hAnsi="宋体" w:eastAsia="宋体" w:cs="宋体"/>
          <w:spacing w:val="6"/>
          <w:sz w:val="28"/>
          <w:szCs w:val="28"/>
          <w:lang w:eastAsia="zh-CN"/>
        </w:rPr>
        <w:t>个</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单元，</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方向及</w:t>
      </w:r>
      <w:r>
        <w:rPr>
          <w:rFonts w:hint="eastAsia" w:ascii="宋体" w:hAnsi="宋体" w:eastAsia="宋体" w:cs="宋体"/>
          <w:spacing w:val="6"/>
          <w:sz w:val="28"/>
          <w:szCs w:val="28"/>
          <w:lang w:eastAsia="zh-CN"/>
        </w:rPr>
        <w:t>修复</w:t>
      </w:r>
      <w:r>
        <w:rPr>
          <w:rFonts w:ascii="宋体" w:hAnsi="宋体" w:eastAsia="宋体" w:cs="宋体"/>
          <w:spacing w:val="6"/>
          <w:sz w:val="28"/>
          <w:szCs w:val="28"/>
          <w:lang w:eastAsia="zh-CN"/>
        </w:rPr>
        <w:t>单元划分见表</w:t>
      </w:r>
      <w:r>
        <w:rPr>
          <w:rFonts w:hint="eastAsia" w:ascii="宋体" w:hAnsi="宋体" w:eastAsia="宋体" w:cs="宋体"/>
          <w:spacing w:val="6"/>
          <w:sz w:val="28"/>
          <w:szCs w:val="28"/>
          <w:lang w:eastAsia="zh-CN"/>
        </w:rPr>
        <w:t>3-18</w:t>
      </w:r>
      <w:r>
        <w:rPr>
          <w:rFonts w:ascii="宋体" w:hAnsi="宋体" w:eastAsia="宋体" w:cs="宋体"/>
          <w:spacing w:val="6"/>
          <w:sz w:val="28"/>
          <w:szCs w:val="28"/>
          <w:lang w:eastAsia="zh-CN"/>
        </w:rPr>
        <w:t>。</w:t>
      </w:r>
    </w:p>
    <w:p w14:paraId="496813DF">
      <w:pPr>
        <w:jc w:val="center"/>
        <w:rPr>
          <w:lang w:eastAsia="zh-CN"/>
        </w:rPr>
      </w:pPr>
      <w:r>
        <w:rPr>
          <w:rFonts w:hint="eastAsia" w:ascii="宋体" w:hAnsi="宋体" w:eastAsia="宋体" w:cs="宋体"/>
          <w:b/>
          <w:bCs/>
          <w:lang w:eastAsia="zh-CN"/>
        </w:rPr>
        <w:t>表3-18  修复单元生态修复方向分析结果</w:t>
      </w:r>
    </w:p>
    <w:tbl>
      <w:tblPr>
        <w:tblStyle w:val="22"/>
        <w:tblW w:w="822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58"/>
        <w:gridCol w:w="2121"/>
        <w:gridCol w:w="1184"/>
        <w:gridCol w:w="1342"/>
        <w:gridCol w:w="1091"/>
        <w:gridCol w:w="1828"/>
      </w:tblGrid>
      <w:tr w14:paraId="75C584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6" w:hRule="atLeast"/>
        </w:trPr>
        <w:tc>
          <w:tcPr>
            <w:tcW w:w="3963" w:type="dxa"/>
            <w:gridSpan w:val="3"/>
            <w:vAlign w:val="center"/>
          </w:tcPr>
          <w:p w14:paraId="38CF23E9">
            <w:pPr>
              <w:pStyle w:val="23"/>
              <w:widowControl w:val="0"/>
              <w:kinsoku/>
              <w:adjustRightInd/>
              <w:snapToGrid/>
              <w:jc w:val="center"/>
              <w:rPr>
                <w:rFonts w:hint="eastAsia"/>
                <w:sz w:val="21"/>
                <w:szCs w:val="21"/>
              </w:rPr>
            </w:pPr>
            <w:r>
              <w:rPr>
                <w:rFonts w:hint="eastAsia"/>
                <w:spacing w:val="-2"/>
                <w:sz w:val="21"/>
                <w:szCs w:val="21"/>
              </w:rPr>
              <w:t>评价单元</w:t>
            </w:r>
          </w:p>
        </w:tc>
        <w:tc>
          <w:tcPr>
            <w:tcW w:w="1342" w:type="dxa"/>
            <w:vAlign w:val="center"/>
          </w:tcPr>
          <w:p w14:paraId="7DA16992">
            <w:pPr>
              <w:pStyle w:val="23"/>
              <w:widowControl w:val="0"/>
              <w:kinsoku/>
              <w:adjustRightInd/>
              <w:snapToGrid/>
              <w:jc w:val="center"/>
              <w:rPr>
                <w:rFonts w:hint="eastAsia"/>
                <w:sz w:val="21"/>
                <w:szCs w:val="21"/>
              </w:rPr>
            </w:pPr>
            <w:r>
              <w:rPr>
                <w:rFonts w:hint="eastAsia"/>
                <w:spacing w:val="-4"/>
                <w:sz w:val="21"/>
                <w:szCs w:val="21"/>
              </w:rPr>
              <w:t>资源配置</w:t>
            </w:r>
          </w:p>
        </w:tc>
        <w:tc>
          <w:tcPr>
            <w:tcW w:w="1091" w:type="dxa"/>
            <w:vAlign w:val="center"/>
          </w:tcPr>
          <w:p w14:paraId="345C14A1">
            <w:pPr>
              <w:pStyle w:val="23"/>
              <w:widowControl w:val="0"/>
              <w:kinsoku/>
              <w:adjustRightInd/>
              <w:snapToGrid/>
              <w:jc w:val="center"/>
              <w:rPr>
                <w:rFonts w:hint="eastAsia"/>
                <w:sz w:val="21"/>
                <w:szCs w:val="21"/>
              </w:rPr>
            </w:pPr>
            <w:r>
              <w:rPr>
                <w:rFonts w:hint="eastAsia"/>
                <w:spacing w:val="-3"/>
                <w:sz w:val="21"/>
                <w:szCs w:val="21"/>
                <w:lang w:eastAsia="zh-CN"/>
              </w:rPr>
              <w:t>修复</w:t>
            </w:r>
            <w:r>
              <w:rPr>
                <w:rFonts w:hint="eastAsia"/>
                <w:spacing w:val="-3"/>
                <w:sz w:val="21"/>
                <w:szCs w:val="21"/>
              </w:rPr>
              <w:t>方向</w:t>
            </w:r>
          </w:p>
        </w:tc>
        <w:tc>
          <w:tcPr>
            <w:tcW w:w="1828" w:type="dxa"/>
            <w:vAlign w:val="center"/>
          </w:tcPr>
          <w:p w14:paraId="4B903170">
            <w:pPr>
              <w:pStyle w:val="23"/>
              <w:widowControl w:val="0"/>
              <w:kinsoku/>
              <w:adjustRightInd/>
              <w:snapToGrid/>
              <w:jc w:val="center"/>
              <w:rPr>
                <w:rFonts w:hint="eastAsia"/>
                <w:sz w:val="21"/>
                <w:szCs w:val="21"/>
              </w:rPr>
            </w:pPr>
            <w:r>
              <w:rPr>
                <w:rFonts w:hint="eastAsia"/>
                <w:spacing w:val="-3"/>
                <w:sz w:val="21"/>
                <w:szCs w:val="21"/>
                <w:lang w:eastAsia="zh-CN"/>
              </w:rPr>
              <w:t>修复</w:t>
            </w:r>
            <w:r>
              <w:rPr>
                <w:rFonts w:hint="eastAsia"/>
                <w:spacing w:val="-3"/>
                <w:sz w:val="21"/>
                <w:szCs w:val="21"/>
              </w:rPr>
              <w:t>单元</w:t>
            </w:r>
          </w:p>
        </w:tc>
      </w:tr>
      <w:tr w14:paraId="6988B4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3" w:hRule="atLeast"/>
        </w:trPr>
        <w:tc>
          <w:tcPr>
            <w:tcW w:w="658" w:type="dxa"/>
            <w:vAlign w:val="center"/>
          </w:tcPr>
          <w:p w14:paraId="35765BA2">
            <w:pPr>
              <w:pStyle w:val="23"/>
              <w:widowControl w:val="0"/>
              <w:kinsoku/>
              <w:adjustRightInd/>
              <w:snapToGrid/>
              <w:jc w:val="center"/>
              <w:rPr>
                <w:rFonts w:hint="eastAsia"/>
                <w:sz w:val="21"/>
                <w:szCs w:val="21"/>
              </w:rPr>
            </w:pPr>
            <w:r>
              <w:rPr>
                <w:rFonts w:hint="eastAsia"/>
                <w:spacing w:val="-4"/>
                <w:sz w:val="21"/>
                <w:szCs w:val="21"/>
              </w:rPr>
              <w:t>序号</w:t>
            </w:r>
          </w:p>
        </w:tc>
        <w:tc>
          <w:tcPr>
            <w:tcW w:w="2121" w:type="dxa"/>
            <w:vAlign w:val="center"/>
          </w:tcPr>
          <w:p w14:paraId="18A63071">
            <w:pPr>
              <w:pStyle w:val="23"/>
              <w:widowControl w:val="0"/>
              <w:kinsoku/>
              <w:adjustRightInd/>
              <w:snapToGrid/>
              <w:jc w:val="center"/>
              <w:rPr>
                <w:rFonts w:hint="eastAsia"/>
                <w:sz w:val="21"/>
                <w:szCs w:val="21"/>
              </w:rPr>
            </w:pPr>
            <w:r>
              <w:rPr>
                <w:rFonts w:hint="eastAsia"/>
                <w:spacing w:val="-5"/>
                <w:sz w:val="21"/>
                <w:szCs w:val="21"/>
              </w:rPr>
              <w:t>名称</w:t>
            </w:r>
          </w:p>
        </w:tc>
        <w:tc>
          <w:tcPr>
            <w:tcW w:w="1184" w:type="dxa"/>
            <w:vAlign w:val="center"/>
          </w:tcPr>
          <w:p w14:paraId="3A9D29AE">
            <w:pPr>
              <w:pStyle w:val="23"/>
              <w:widowControl w:val="0"/>
              <w:kinsoku/>
              <w:adjustRightInd/>
              <w:snapToGrid/>
              <w:jc w:val="center"/>
              <w:rPr>
                <w:rFonts w:hint="eastAsia"/>
                <w:sz w:val="21"/>
                <w:szCs w:val="21"/>
              </w:rPr>
            </w:pPr>
            <w:r>
              <w:rPr>
                <w:rFonts w:hint="eastAsia"/>
                <w:spacing w:val="-1"/>
                <w:sz w:val="21"/>
                <w:szCs w:val="21"/>
              </w:rPr>
              <w:t>面积（hm</w:t>
            </w:r>
            <w:r>
              <w:rPr>
                <w:rFonts w:hint="eastAsia"/>
                <w:spacing w:val="-1"/>
                <w:sz w:val="21"/>
                <w:szCs w:val="21"/>
                <w:vertAlign w:val="superscript"/>
                <w:lang w:eastAsia="zh-CN"/>
              </w:rPr>
              <w:t>2</w:t>
            </w:r>
            <w:r>
              <w:rPr>
                <w:rFonts w:hint="eastAsia"/>
                <w:spacing w:val="-1"/>
                <w:sz w:val="21"/>
                <w:szCs w:val="21"/>
              </w:rPr>
              <w:t>）</w:t>
            </w:r>
          </w:p>
        </w:tc>
        <w:tc>
          <w:tcPr>
            <w:tcW w:w="1342" w:type="dxa"/>
            <w:vAlign w:val="center"/>
          </w:tcPr>
          <w:p w14:paraId="3A54CEC1">
            <w:pPr>
              <w:widowControl w:val="0"/>
              <w:kinsoku/>
              <w:adjustRightInd/>
              <w:snapToGrid/>
              <w:jc w:val="center"/>
              <w:rPr>
                <w:rFonts w:hint="eastAsia" w:ascii="宋体" w:hAnsi="宋体" w:eastAsia="宋体" w:cs="宋体"/>
              </w:rPr>
            </w:pPr>
          </w:p>
        </w:tc>
        <w:tc>
          <w:tcPr>
            <w:tcW w:w="1091" w:type="dxa"/>
            <w:vAlign w:val="center"/>
          </w:tcPr>
          <w:p w14:paraId="628C9415">
            <w:pPr>
              <w:widowControl w:val="0"/>
              <w:kinsoku/>
              <w:adjustRightInd/>
              <w:snapToGrid/>
              <w:jc w:val="center"/>
              <w:rPr>
                <w:rFonts w:hint="eastAsia" w:ascii="宋体" w:hAnsi="宋体" w:eastAsia="宋体" w:cs="宋体"/>
              </w:rPr>
            </w:pPr>
          </w:p>
        </w:tc>
        <w:tc>
          <w:tcPr>
            <w:tcW w:w="1828" w:type="dxa"/>
            <w:vAlign w:val="center"/>
          </w:tcPr>
          <w:p w14:paraId="4619DEE4">
            <w:pPr>
              <w:pStyle w:val="23"/>
              <w:widowControl w:val="0"/>
              <w:kinsoku/>
              <w:adjustRightInd/>
              <w:snapToGrid/>
              <w:jc w:val="center"/>
              <w:rPr>
                <w:rFonts w:hint="eastAsia"/>
                <w:sz w:val="21"/>
                <w:szCs w:val="21"/>
              </w:rPr>
            </w:pPr>
            <w:r>
              <w:rPr>
                <w:rFonts w:hint="eastAsia"/>
                <w:spacing w:val="-5"/>
                <w:sz w:val="21"/>
                <w:szCs w:val="21"/>
              </w:rPr>
              <w:t>名称</w:t>
            </w:r>
          </w:p>
        </w:tc>
      </w:tr>
      <w:tr w14:paraId="12B47C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658" w:type="dxa"/>
            <w:vAlign w:val="center"/>
          </w:tcPr>
          <w:p w14:paraId="3C920213">
            <w:pPr>
              <w:pStyle w:val="23"/>
              <w:widowControl w:val="0"/>
              <w:kinsoku/>
              <w:adjustRightInd/>
              <w:snapToGrid/>
              <w:jc w:val="center"/>
              <w:rPr>
                <w:rFonts w:hint="eastAsia"/>
                <w:sz w:val="21"/>
                <w:szCs w:val="21"/>
              </w:rPr>
            </w:pPr>
            <w:r>
              <w:rPr>
                <w:rFonts w:hint="eastAsia"/>
                <w:sz w:val="21"/>
                <w:szCs w:val="21"/>
              </w:rPr>
              <w:t>1</w:t>
            </w:r>
          </w:p>
        </w:tc>
        <w:tc>
          <w:tcPr>
            <w:tcW w:w="2121" w:type="dxa"/>
            <w:vAlign w:val="center"/>
          </w:tcPr>
          <w:p w14:paraId="48667728">
            <w:pPr>
              <w:pStyle w:val="23"/>
              <w:widowControl w:val="0"/>
              <w:kinsoku/>
              <w:adjustRightInd/>
              <w:snapToGrid/>
              <w:jc w:val="center"/>
              <w:rPr>
                <w:rFonts w:hint="eastAsia"/>
                <w:sz w:val="21"/>
                <w:szCs w:val="21"/>
              </w:rPr>
            </w:pPr>
            <w:r>
              <w:rPr>
                <w:rFonts w:hint="eastAsia"/>
                <w:sz w:val="21"/>
                <w:szCs w:val="21"/>
              </w:rPr>
              <w:t>P1（</w:t>
            </w:r>
            <w:r>
              <w:rPr>
                <w:rFonts w:hint="eastAsia"/>
                <w:sz w:val="21"/>
                <w:szCs w:val="21"/>
                <w:lang w:eastAsia="zh-CN"/>
              </w:rPr>
              <w:t>采矿场地</w:t>
            </w:r>
            <w:r>
              <w:rPr>
                <w:rFonts w:hint="eastAsia"/>
                <w:spacing w:val="-5"/>
                <w:sz w:val="21"/>
                <w:szCs w:val="21"/>
              </w:rPr>
              <w:t>）</w:t>
            </w:r>
          </w:p>
        </w:tc>
        <w:tc>
          <w:tcPr>
            <w:tcW w:w="1184" w:type="dxa"/>
            <w:vAlign w:val="center"/>
          </w:tcPr>
          <w:p w14:paraId="1DF614B9">
            <w:pPr>
              <w:pStyle w:val="23"/>
              <w:widowControl w:val="0"/>
              <w:kinsoku/>
              <w:adjustRightInd/>
              <w:snapToGrid/>
              <w:jc w:val="center"/>
              <w:rPr>
                <w:rFonts w:hint="default"/>
                <w:sz w:val="21"/>
                <w:szCs w:val="21"/>
                <w:lang w:val="en-US" w:eastAsia="zh-CN"/>
              </w:rPr>
            </w:pPr>
            <w:r>
              <w:rPr>
                <w:rFonts w:hint="eastAsia"/>
                <w:spacing w:val="-2"/>
                <w:sz w:val="21"/>
                <w:szCs w:val="21"/>
                <w:lang w:val="en-US" w:eastAsia="zh-CN"/>
              </w:rPr>
              <w:t>100</w:t>
            </w:r>
          </w:p>
        </w:tc>
        <w:tc>
          <w:tcPr>
            <w:tcW w:w="1342" w:type="dxa"/>
            <w:vAlign w:val="center"/>
          </w:tcPr>
          <w:p w14:paraId="0485B2DC">
            <w:pPr>
              <w:pStyle w:val="23"/>
              <w:widowControl w:val="0"/>
              <w:kinsoku/>
              <w:adjustRightInd/>
              <w:snapToGrid/>
              <w:jc w:val="center"/>
              <w:rPr>
                <w:rFonts w:hint="eastAsia"/>
                <w:sz w:val="21"/>
                <w:szCs w:val="21"/>
                <w:lang w:eastAsia="zh-CN"/>
              </w:rPr>
            </w:pPr>
            <w:r>
              <w:rPr>
                <w:rFonts w:hint="eastAsia"/>
                <w:spacing w:val="-1"/>
                <w:sz w:val="21"/>
                <w:szCs w:val="21"/>
              </w:rPr>
              <w:t>平整、</w:t>
            </w:r>
            <w:r>
              <w:rPr>
                <w:rFonts w:hint="eastAsia"/>
                <w:spacing w:val="-1"/>
                <w:sz w:val="21"/>
                <w:szCs w:val="21"/>
                <w:lang w:eastAsia="zh-CN"/>
              </w:rPr>
              <w:t>刷坡</w:t>
            </w:r>
          </w:p>
        </w:tc>
        <w:tc>
          <w:tcPr>
            <w:tcW w:w="1091" w:type="dxa"/>
            <w:vAlign w:val="center"/>
          </w:tcPr>
          <w:p w14:paraId="182B5780">
            <w:pPr>
              <w:pStyle w:val="23"/>
              <w:widowControl w:val="0"/>
              <w:kinsoku/>
              <w:adjustRightInd/>
              <w:snapToGrid/>
              <w:jc w:val="center"/>
              <w:rPr>
                <w:rFonts w:hint="eastAsia"/>
                <w:sz w:val="21"/>
                <w:szCs w:val="21"/>
                <w:lang w:eastAsia="zh-CN"/>
              </w:rPr>
            </w:pPr>
            <w:r>
              <w:rPr>
                <w:rFonts w:hint="eastAsia"/>
                <w:spacing w:val="-1"/>
                <w:sz w:val="21"/>
                <w:szCs w:val="21"/>
                <w:lang w:eastAsia="zh-CN"/>
              </w:rPr>
              <w:t>沙地</w:t>
            </w:r>
          </w:p>
        </w:tc>
        <w:tc>
          <w:tcPr>
            <w:tcW w:w="1828" w:type="dxa"/>
            <w:vAlign w:val="center"/>
          </w:tcPr>
          <w:p w14:paraId="51C8781B">
            <w:pPr>
              <w:pStyle w:val="23"/>
              <w:widowControl w:val="0"/>
              <w:kinsoku/>
              <w:adjustRightInd/>
              <w:snapToGrid/>
              <w:jc w:val="center"/>
              <w:rPr>
                <w:rFonts w:hint="eastAsia"/>
                <w:sz w:val="21"/>
                <w:szCs w:val="21"/>
              </w:rPr>
            </w:pPr>
            <w:r>
              <w:rPr>
                <w:rFonts w:hint="eastAsia"/>
                <w:spacing w:val="-1"/>
                <w:sz w:val="21"/>
                <w:szCs w:val="21"/>
              </w:rPr>
              <w:t>F1（</w:t>
            </w:r>
            <w:r>
              <w:rPr>
                <w:rFonts w:hint="eastAsia"/>
                <w:spacing w:val="-1"/>
                <w:sz w:val="21"/>
                <w:szCs w:val="21"/>
                <w:lang w:eastAsia="zh-CN"/>
              </w:rPr>
              <w:t>采矿场地</w:t>
            </w:r>
            <w:r>
              <w:rPr>
                <w:rFonts w:hint="eastAsia"/>
                <w:spacing w:val="-5"/>
                <w:sz w:val="21"/>
                <w:szCs w:val="21"/>
              </w:rPr>
              <w:t>）</w:t>
            </w:r>
          </w:p>
        </w:tc>
      </w:tr>
      <w:tr w14:paraId="04C6FF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3" w:hRule="atLeast"/>
        </w:trPr>
        <w:tc>
          <w:tcPr>
            <w:tcW w:w="658" w:type="dxa"/>
            <w:vAlign w:val="center"/>
          </w:tcPr>
          <w:p w14:paraId="31285C45">
            <w:pPr>
              <w:pStyle w:val="23"/>
              <w:widowControl w:val="0"/>
              <w:kinsoku/>
              <w:adjustRightInd/>
              <w:snapToGrid/>
              <w:jc w:val="center"/>
              <w:rPr>
                <w:rFonts w:hint="eastAsia"/>
                <w:sz w:val="21"/>
                <w:szCs w:val="21"/>
              </w:rPr>
            </w:pPr>
            <w:r>
              <w:rPr>
                <w:rFonts w:hint="eastAsia"/>
                <w:sz w:val="21"/>
                <w:szCs w:val="21"/>
              </w:rPr>
              <w:t>2</w:t>
            </w:r>
          </w:p>
        </w:tc>
        <w:tc>
          <w:tcPr>
            <w:tcW w:w="2121" w:type="dxa"/>
            <w:vAlign w:val="center"/>
          </w:tcPr>
          <w:p w14:paraId="74689F4D">
            <w:pPr>
              <w:pStyle w:val="23"/>
              <w:widowControl w:val="0"/>
              <w:kinsoku/>
              <w:adjustRightInd/>
              <w:snapToGrid/>
              <w:jc w:val="center"/>
              <w:rPr>
                <w:rFonts w:hint="eastAsia"/>
                <w:sz w:val="21"/>
                <w:szCs w:val="21"/>
              </w:rPr>
            </w:pPr>
            <w:r>
              <w:rPr>
                <w:rFonts w:hint="eastAsia"/>
                <w:spacing w:val="-1"/>
                <w:sz w:val="21"/>
                <w:szCs w:val="21"/>
              </w:rPr>
              <w:t>P2（</w:t>
            </w:r>
            <w:r>
              <w:rPr>
                <w:rFonts w:hint="eastAsia"/>
                <w:spacing w:val="-1"/>
                <w:sz w:val="21"/>
                <w:szCs w:val="21"/>
                <w:lang w:eastAsia="zh-CN"/>
              </w:rPr>
              <w:t>工业场地</w:t>
            </w:r>
            <w:r>
              <w:rPr>
                <w:rFonts w:hint="eastAsia"/>
                <w:spacing w:val="-1"/>
                <w:sz w:val="21"/>
                <w:szCs w:val="21"/>
              </w:rPr>
              <w:t>）</w:t>
            </w:r>
          </w:p>
        </w:tc>
        <w:tc>
          <w:tcPr>
            <w:tcW w:w="1184" w:type="dxa"/>
            <w:vAlign w:val="center"/>
          </w:tcPr>
          <w:p w14:paraId="6CB43DD0">
            <w:pPr>
              <w:pStyle w:val="23"/>
              <w:widowControl w:val="0"/>
              <w:kinsoku/>
              <w:adjustRightInd/>
              <w:snapToGrid/>
              <w:jc w:val="center"/>
              <w:rPr>
                <w:rFonts w:hint="default"/>
                <w:sz w:val="21"/>
                <w:szCs w:val="21"/>
                <w:lang w:val="en-US" w:eastAsia="zh-CN"/>
              </w:rPr>
            </w:pPr>
            <w:r>
              <w:rPr>
                <w:rFonts w:hint="eastAsia"/>
                <w:sz w:val="21"/>
                <w:szCs w:val="21"/>
                <w:lang w:val="en-US" w:eastAsia="zh-CN"/>
              </w:rPr>
              <w:t>4.23</w:t>
            </w:r>
          </w:p>
        </w:tc>
        <w:tc>
          <w:tcPr>
            <w:tcW w:w="1342" w:type="dxa"/>
            <w:vAlign w:val="center"/>
          </w:tcPr>
          <w:p w14:paraId="59B443AE">
            <w:pPr>
              <w:pStyle w:val="23"/>
              <w:widowControl w:val="0"/>
              <w:kinsoku/>
              <w:adjustRightInd/>
              <w:snapToGrid/>
              <w:jc w:val="center"/>
              <w:rPr>
                <w:rFonts w:hint="eastAsia"/>
                <w:sz w:val="21"/>
                <w:szCs w:val="21"/>
                <w:lang w:eastAsia="zh-CN"/>
              </w:rPr>
            </w:pPr>
            <w:r>
              <w:rPr>
                <w:rFonts w:hint="eastAsia"/>
                <w:spacing w:val="-1"/>
                <w:sz w:val="21"/>
                <w:szCs w:val="21"/>
                <w:lang w:eastAsia="zh-CN"/>
              </w:rPr>
              <w:t>建筑物拆除、</w:t>
            </w:r>
            <w:r>
              <w:rPr>
                <w:rFonts w:hint="eastAsia"/>
                <w:spacing w:val="-1"/>
                <w:sz w:val="21"/>
                <w:szCs w:val="21"/>
              </w:rPr>
              <w:t>平整、</w:t>
            </w:r>
            <w:r>
              <w:rPr>
                <w:rFonts w:hint="eastAsia"/>
                <w:spacing w:val="-1"/>
                <w:sz w:val="21"/>
                <w:szCs w:val="21"/>
                <w:lang w:eastAsia="zh-CN"/>
              </w:rPr>
              <w:t>压实</w:t>
            </w:r>
          </w:p>
        </w:tc>
        <w:tc>
          <w:tcPr>
            <w:tcW w:w="1091" w:type="dxa"/>
            <w:vAlign w:val="center"/>
          </w:tcPr>
          <w:p w14:paraId="7395526F">
            <w:pPr>
              <w:widowControl w:val="0"/>
              <w:kinsoku/>
              <w:adjustRightInd/>
              <w:snapToGrid/>
              <w:jc w:val="center"/>
              <w:rPr>
                <w:rFonts w:hint="eastAsia" w:ascii="宋体" w:hAnsi="宋体" w:eastAsia="宋体" w:cs="宋体"/>
              </w:rPr>
            </w:pPr>
            <w:r>
              <w:rPr>
                <w:rFonts w:hint="eastAsia" w:ascii="宋体" w:hAnsi="宋体" w:eastAsia="宋体" w:cs="宋体"/>
                <w:spacing w:val="-1"/>
                <w:lang w:eastAsia="zh-CN"/>
              </w:rPr>
              <w:t>沙地</w:t>
            </w:r>
          </w:p>
        </w:tc>
        <w:tc>
          <w:tcPr>
            <w:tcW w:w="1828" w:type="dxa"/>
            <w:vAlign w:val="center"/>
          </w:tcPr>
          <w:p w14:paraId="42885F90">
            <w:pPr>
              <w:pStyle w:val="23"/>
              <w:widowControl w:val="0"/>
              <w:kinsoku/>
              <w:adjustRightInd/>
              <w:snapToGrid/>
              <w:jc w:val="center"/>
              <w:rPr>
                <w:rFonts w:hint="eastAsia"/>
                <w:sz w:val="21"/>
                <w:szCs w:val="21"/>
              </w:rPr>
            </w:pPr>
            <w:r>
              <w:rPr>
                <w:rFonts w:hint="eastAsia"/>
                <w:spacing w:val="-1"/>
                <w:sz w:val="21"/>
                <w:szCs w:val="21"/>
              </w:rPr>
              <w:t>F2（</w:t>
            </w:r>
            <w:r>
              <w:rPr>
                <w:rFonts w:hint="eastAsia"/>
                <w:spacing w:val="-1"/>
                <w:sz w:val="21"/>
                <w:szCs w:val="21"/>
                <w:lang w:eastAsia="zh-CN"/>
              </w:rPr>
              <w:t>工业场地</w:t>
            </w:r>
            <w:r>
              <w:rPr>
                <w:rFonts w:hint="eastAsia"/>
                <w:spacing w:val="-4"/>
                <w:sz w:val="21"/>
                <w:szCs w:val="21"/>
              </w:rPr>
              <w:t>）</w:t>
            </w:r>
          </w:p>
        </w:tc>
      </w:tr>
      <w:tr w14:paraId="14AFFC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658" w:type="dxa"/>
            <w:vAlign w:val="center"/>
          </w:tcPr>
          <w:p w14:paraId="613A9E86">
            <w:pPr>
              <w:pStyle w:val="23"/>
              <w:widowControl w:val="0"/>
              <w:kinsoku/>
              <w:adjustRightInd/>
              <w:snapToGrid/>
              <w:jc w:val="center"/>
              <w:rPr>
                <w:rFonts w:hint="eastAsia" w:eastAsia="宋体"/>
                <w:sz w:val="21"/>
                <w:szCs w:val="21"/>
                <w:lang w:val="en-US" w:eastAsia="zh-CN"/>
              </w:rPr>
            </w:pPr>
            <w:r>
              <w:rPr>
                <w:rFonts w:hint="eastAsia"/>
                <w:sz w:val="21"/>
                <w:szCs w:val="21"/>
                <w:lang w:val="en-US" w:eastAsia="zh-CN"/>
              </w:rPr>
              <w:t>3</w:t>
            </w:r>
          </w:p>
        </w:tc>
        <w:tc>
          <w:tcPr>
            <w:tcW w:w="2121" w:type="dxa"/>
            <w:vAlign w:val="center"/>
          </w:tcPr>
          <w:p w14:paraId="20E072F1">
            <w:pPr>
              <w:pStyle w:val="23"/>
              <w:widowControl w:val="0"/>
              <w:kinsoku/>
              <w:adjustRightInd/>
              <w:snapToGrid/>
              <w:jc w:val="center"/>
              <w:rPr>
                <w:rFonts w:hint="eastAsia"/>
                <w:sz w:val="21"/>
                <w:szCs w:val="21"/>
              </w:rPr>
            </w:pPr>
            <w:r>
              <w:rPr>
                <w:rFonts w:hint="eastAsia"/>
                <w:sz w:val="21"/>
                <w:szCs w:val="21"/>
                <w:lang w:eastAsia="zh-CN"/>
              </w:rPr>
              <w:t>P</w:t>
            </w:r>
            <w:r>
              <w:rPr>
                <w:rFonts w:hint="eastAsia"/>
                <w:sz w:val="21"/>
                <w:szCs w:val="21"/>
                <w:lang w:val="en-US" w:eastAsia="zh-CN"/>
              </w:rPr>
              <w:t>3</w:t>
            </w:r>
            <w:r>
              <w:rPr>
                <w:rFonts w:hint="eastAsia"/>
                <w:sz w:val="21"/>
                <w:szCs w:val="21"/>
                <w:lang w:eastAsia="zh-CN"/>
              </w:rPr>
              <w:t>（矿山道路）</w:t>
            </w:r>
          </w:p>
        </w:tc>
        <w:tc>
          <w:tcPr>
            <w:tcW w:w="1184" w:type="dxa"/>
            <w:vAlign w:val="center"/>
          </w:tcPr>
          <w:p w14:paraId="5DA64F7B">
            <w:pPr>
              <w:pStyle w:val="23"/>
              <w:widowControl w:val="0"/>
              <w:kinsoku/>
              <w:adjustRightInd/>
              <w:snapToGrid/>
              <w:jc w:val="center"/>
              <w:rPr>
                <w:rFonts w:hint="default"/>
                <w:sz w:val="21"/>
                <w:szCs w:val="21"/>
                <w:lang w:val="en-US" w:eastAsia="zh-CN"/>
              </w:rPr>
            </w:pPr>
            <w:r>
              <w:rPr>
                <w:rFonts w:hint="eastAsia"/>
                <w:sz w:val="21"/>
                <w:szCs w:val="21"/>
                <w:lang w:val="en-US" w:eastAsia="zh-CN"/>
              </w:rPr>
              <w:t>0.24</w:t>
            </w:r>
          </w:p>
        </w:tc>
        <w:tc>
          <w:tcPr>
            <w:tcW w:w="1342" w:type="dxa"/>
            <w:vAlign w:val="center"/>
          </w:tcPr>
          <w:p w14:paraId="504409E8">
            <w:pPr>
              <w:pStyle w:val="23"/>
              <w:widowControl w:val="0"/>
              <w:kinsoku/>
              <w:adjustRightInd/>
              <w:snapToGrid/>
              <w:jc w:val="center"/>
              <w:rPr>
                <w:rFonts w:hint="eastAsia"/>
                <w:sz w:val="21"/>
                <w:szCs w:val="21"/>
              </w:rPr>
            </w:pPr>
            <w:r>
              <w:rPr>
                <w:rFonts w:hint="eastAsia"/>
                <w:spacing w:val="-1"/>
                <w:sz w:val="21"/>
                <w:szCs w:val="21"/>
              </w:rPr>
              <w:t>平整、</w:t>
            </w:r>
            <w:r>
              <w:rPr>
                <w:rFonts w:hint="eastAsia"/>
                <w:spacing w:val="-1"/>
                <w:sz w:val="21"/>
                <w:szCs w:val="21"/>
                <w:lang w:eastAsia="zh-CN"/>
              </w:rPr>
              <w:t>压实</w:t>
            </w:r>
          </w:p>
        </w:tc>
        <w:tc>
          <w:tcPr>
            <w:tcW w:w="1091" w:type="dxa"/>
            <w:vAlign w:val="center"/>
          </w:tcPr>
          <w:p w14:paraId="5D3CFC85">
            <w:pPr>
              <w:widowControl w:val="0"/>
              <w:kinsoku/>
              <w:adjustRightInd/>
              <w:snapToGrid/>
              <w:jc w:val="center"/>
              <w:rPr>
                <w:rFonts w:hint="eastAsia" w:ascii="宋体" w:hAnsi="宋体" w:eastAsia="宋体" w:cs="宋体"/>
              </w:rPr>
            </w:pPr>
            <w:r>
              <w:rPr>
                <w:rFonts w:hint="eastAsia" w:ascii="宋体" w:hAnsi="宋体" w:eastAsia="宋体" w:cs="宋体"/>
                <w:spacing w:val="-1"/>
                <w:lang w:eastAsia="zh-CN"/>
              </w:rPr>
              <w:t>沙地</w:t>
            </w:r>
          </w:p>
        </w:tc>
        <w:tc>
          <w:tcPr>
            <w:tcW w:w="1828" w:type="dxa"/>
            <w:vAlign w:val="center"/>
          </w:tcPr>
          <w:p w14:paraId="07B06219">
            <w:pPr>
              <w:pStyle w:val="23"/>
              <w:widowControl w:val="0"/>
              <w:kinsoku/>
              <w:adjustRightInd/>
              <w:snapToGrid/>
              <w:jc w:val="center"/>
              <w:rPr>
                <w:rFonts w:hint="eastAsia"/>
                <w:sz w:val="21"/>
                <w:szCs w:val="21"/>
              </w:rPr>
            </w:pPr>
            <w:r>
              <w:rPr>
                <w:rFonts w:hint="eastAsia"/>
                <w:spacing w:val="-1"/>
                <w:sz w:val="21"/>
                <w:szCs w:val="21"/>
                <w:lang w:eastAsia="zh-CN"/>
              </w:rPr>
              <w:t>F</w:t>
            </w:r>
            <w:r>
              <w:rPr>
                <w:rFonts w:hint="eastAsia"/>
                <w:spacing w:val="-1"/>
                <w:sz w:val="21"/>
                <w:szCs w:val="21"/>
                <w:lang w:val="en-US" w:eastAsia="zh-CN"/>
              </w:rPr>
              <w:t>3</w:t>
            </w:r>
            <w:r>
              <w:rPr>
                <w:rFonts w:hint="eastAsia"/>
                <w:spacing w:val="-1"/>
                <w:sz w:val="21"/>
                <w:szCs w:val="21"/>
                <w:lang w:eastAsia="zh-CN"/>
              </w:rPr>
              <w:t>（</w:t>
            </w:r>
            <w:r>
              <w:rPr>
                <w:rFonts w:hint="eastAsia"/>
                <w:sz w:val="21"/>
                <w:szCs w:val="21"/>
                <w:lang w:eastAsia="zh-CN"/>
              </w:rPr>
              <w:t>矿山道路</w:t>
            </w:r>
            <w:r>
              <w:rPr>
                <w:rFonts w:hint="eastAsia"/>
                <w:spacing w:val="-1"/>
                <w:sz w:val="21"/>
                <w:szCs w:val="21"/>
                <w:lang w:eastAsia="zh-CN"/>
              </w:rPr>
              <w:t>）</w:t>
            </w:r>
          </w:p>
        </w:tc>
      </w:tr>
      <w:tr w14:paraId="4D4C2D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658" w:type="dxa"/>
            <w:vAlign w:val="center"/>
          </w:tcPr>
          <w:p w14:paraId="17FF7393">
            <w:pPr>
              <w:pStyle w:val="23"/>
              <w:widowControl w:val="0"/>
              <w:kinsoku/>
              <w:adjustRightInd/>
              <w:snapToGrid/>
              <w:jc w:val="center"/>
              <w:rPr>
                <w:rFonts w:hint="eastAsia"/>
                <w:sz w:val="21"/>
                <w:szCs w:val="21"/>
                <w:lang w:eastAsia="zh-CN"/>
              </w:rPr>
            </w:pPr>
            <w:bookmarkStart w:id="179" w:name="_Toc16492"/>
          </w:p>
        </w:tc>
        <w:tc>
          <w:tcPr>
            <w:tcW w:w="2121" w:type="dxa"/>
            <w:vAlign w:val="center"/>
          </w:tcPr>
          <w:p w14:paraId="1B41C89E">
            <w:pPr>
              <w:pStyle w:val="23"/>
              <w:widowControl w:val="0"/>
              <w:kinsoku/>
              <w:adjustRightInd/>
              <w:snapToGrid/>
              <w:jc w:val="center"/>
              <w:rPr>
                <w:rFonts w:hint="eastAsia"/>
                <w:spacing w:val="-4"/>
                <w:sz w:val="21"/>
                <w:szCs w:val="21"/>
              </w:rPr>
            </w:pPr>
          </w:p>
        </w:tc>
        <w:tc>
          <w:tcPr>
            <w:tcW w:w="1184" w:type="dxa"/>
            <w:vAlign w:val="center"/>
          </w:tcPr>
          <w:p w14:paraId="6A2BCC23">
            <w:pPr>
              <w:pStyle w:val="23"/>
              <w:widowControl w:val="0"/>
              <w:kinsoku/>
              <w:adjustRightInd/>
              <w:snapToGrid/>
              <w:jc w:val="center"/>
              <w:rPr>
                <w:rFonts w:hint="default"/>
                <w:spacing w:val="-1"/>
                <w:sz w:val="21"/>
                <w:szCs w:val="21"/>
                <w:lang w:val="en-US" w:eastAsia="zh-CN"/>
              </w:rPr>
            </w:pPr>
            <w:r>
              <w:rPr>
                <w:rFonts w:hint="eastAsia"/>
                <w:spacing w:val="-1"/>
                <w:sz w:val="21"/>
                <w:szCs w:val="21"/>
                <w:lang w:val="en-US" w:eastAsia="zh-CN"/>
              </w:rPr>
              <w:t>104.47</w:t>
            </w:r>
          </w:p>
        </w:tc>
        <w:tc>
          <w:tcPr>
            <w:tcW w:w="1342" w:type="dxa"/>
            <w:vAlign w:val="center"/>
          </w:tcPr>
          <w:p w14:paraId="75861A22">
            <w:pPr>
              <w:widowControl w:val="0"/>
              <w:kinsoku/>
              <w:adjustRightInd/>
              <w:snapToGrid/>
              <w:jc w:val="center"/>
              <w:rPr>
                <w:rFonts w:hint="eastAsia" w:ascii="宋体" w:hAnsi="宋体" w:eastAsia="宋体" w:cs="宋体"/>
              </w:rPr>
            </w:pPr>
          </w:p>
        </w:tc>
        <w:tc>
          <w:tcPr>
            <w:tcW w:w="1091" w:type="dxa"/>
            <w:vAlign w:val="center"/>
          </w:tcPr>
          <w:p w14:paraId="761DEF7C">
            <w:pPr>
              <w:widowControl w:val="0"/>
              <w:kinsoku/>
              <w:adjustRightInd/>
              <w:snapToGrid/>
              <w:jc w:val="center"/>
              <w:rPr>
                <w:rFonts w:hint="eastAsia" w:ascii="宋体" w:hAnsi="宋体" w:eastAsia="宋体" w:cs="宋体"/>
              </w:rPr>
            </w:pPr>
          </w:p>
        </w:tc>
        <w:tc>
          <w:tcPr>
            <w:tcW w:w="1828" w:type="dxa"/>
            <w:vAlign w:val="center"/>
          </w:tcPr>
          <w:p w14:paraId="7AE29831">
            <w:pPr>
              <w:widowControl w:val="0"/>
              <w:kinsoku/>
              <w:adjustRightInd/>
              <w:snapToGrid/>
              <w:jc w:val="center"/>
              <w:rPr>
                <w:rFonts w:hint="eastAsia" w:ascii="宋体" w:hAnsi="宋体" w:eastAsia="宋体" w:cs="宋体"/>
              </w:rPr>
            </w:pPr>
          </w:p>
        </w:tc>
      </w:tr>
    </w:tbl>
    <w:p w14:paraId="475D76F6">
      <w:pPr>
        <w:pStyle w:val="4"/>
        <w:keepNext w:val="0"/>
        <w:keepLines w:val="0"/>
        <w:widowControl w:val="0"/>
        <w:numPr>
          <w:ilvl w:val="0"/>
          <w:numId w:val="1"/>
        </w:numPr>
        <w:kinsoku/>
        <w:adjustRightInd/>
        <w:snapToGrid/>
        <w:spacing w:before="0" w:after="0" w:line="360" w:lineRule="auto"/>
        <w:rPr>
          <w:rFonts w:hint="eastAsia" w:ascii="宋体" w:hAnsi="宋体" w:eastAsia="宋体" w:cs="宋体"/>
          <w:sz w:val="28"/>
          <w:szCs w:val="28"/>
          <w:lang w:eastAsia="zh-CN"/>
        </w:rPr>
      </w:pPr>
      <w:r>
        <w:rPr>
          <w:rFonts w:hint="eastAsia" w:ascii="宋体" w:hAnsi="宋体" w:eastAsia="宋体" w:cs="宋体"/>
          <w:sz w:val="28"/>
          <w:szCs w:val="28"/>
          <w:lang w:eastAsia="zh-CN"/>
        </w:rPr>
        <w:t>修复时序安排</w:t>
      </w:r>
      <w:bookmarkEnd w:id="179"/>
    </w:p>
    <w:p w14:paraId="67A99DBF">
      <w:pPr>
        <w:kinsoku/>
        <w:adjustRightInd/>
        <w:snapToGrid/>
        <w:spacing w:line="360" w:lineRule="auto"/>
        <w:ind w:firstLine="568" w:firstLineChars="200"/>
        <w:jc w:val="both"/>
        <w:rPr>
          <w:rFonts w:hint="eastAsia" w:ascii="宋体" w:hAnsi="宋体" w:eastAsia="宋体" w:cs="宋体"/>
          <w:sz w:val="28"/>
          <w:szCs w:val="28"/>
          <w:lang w:eastAsia="zh-CN"/>
        </w:rPr>
      </w:pPr>
      <w:r>
        <w:rPr>
          <w:rFonts w:ascii="宋体" w:hAnsi="宋体" w:eastAsia="宋体" w:cs="宋体"/>
          <w:spacing w:val="2"/>
          <w:sz w:val="28"/>
          <w:szCs w:val="28"/>
          <w:lang w:eastAsia="zh-CN"/>
        </w:rPr>
        <w:t>根据矿山地质环境复杂程度、矿山开发可能引发的</w:t>
      </w:r>
      <w:r>
        <w:rPr>
          <w:rFonts w:ascii="宋体" w:hAnsi="宋体" w:eastAsia="宋体" w:cs="宋体"/>
          <w:spacing w:val="1"/>
          <w:sz w:val="28"/>
          <w:szCs w:val="28"/>
          <w:lang w:eastAsia="zh-CN"/>
        </w:rPr>
        <w:t>矿山地质环境问题</w:t>
      </w:r>
      <w:r>
        <w:rPr>
          <w:rFonts w:ascii="宋体" w:hAnsi="宋体" w:eastAsia="宋体" w:cs="宋体"/>
          <w:spacing w:val="2"/>
          <w:sz w:val="28"/>
          <w:szCs w:val="28"/>
          <w:lang w:eastAsia="zh-CN"/>
        </w:rPr>
        <w:t>分析，矿山地质环境影响程度现状、预测评估，矿山</w:t>
      </w:r>
      <w:r>
        <w:rPr>
          <w:rFonts w:ascii="宋体" w:hAnsi="宋体" w:eastAsia="宋体" w:cs="宋体"/>
          <w:spacing w:val="1"/>
          <w:sz w:val="28"/>
          <w:szCs w:val="28"/>
          <w:lang w:eastAsia="zh-CN"/>
        </w:rPr>
        <w:t>地质环境保护与恢复</w:t>
      </w:r>
      <w:r>
        <w:rPr>
          <w:rFonts w:ascii="宋体" w:hAnsi="宋体" w:eastAsia="宋体" w:cs="宋体"/>
          <w:spacing w:val="2"/>
          <w:sz w:val="28"/>
          <w:szCs w:val="28"/>
          <w:lang w:eastAsia="zh-CN"/>
        </w:rPr>
        <w:t>治理分区评估以及矿山环境保护规划分区结果，进行</w:t>
      </w:r>
      <w:r>
        <w:rPr>
          <w:rFonts w:ascii="宋体" w:hAnsi="宋体" w:eastAsia="宋体" w:cs="宋体"/>
          <w:spacing w:val="1"/>
          <w:sz w:val="28"/>
          <w:szCs w:val="28"/>
          <w:lang w:eastAsia="zh-CN"/>
        </w:rPr>
        <w:t>矿山环境综合治理规</w:t>
      </w:r>
      <w:r>
        <w:rPr>
          <w:rFonts w:ascii="宋体" w:hAnsi="宋体" w:eastAsia="宋体" w:cs="宋体"/>
          <w:spacing w:val="5"/>
          <w:sz w:val="28"/>
          <w:szCs w:val="28"/>
          <w:lang w:eastAsia="zh-CN"/>
        </w:rPr>
        <w:t>划分期，总体部署划分为</w:t>
      </w:r>
      <w:r>
        <w:rPr>
          <w:rFonts w:hint="eastAsia" w:ascii="宋体" w:hAnsi="宋体" w:eastAsia="宋体" w:cs="宋体"/>
          <w:spacing w:val="5"/>
          <w:sz w:val="28"/>
          <w:szCs w:val="28"/>
          <w:lang w:val="en-US" w:eastAsia="zh-CN"/>
        </w:rPr>
        <w:t>2</w:t>
      </w:r>
      <w:r>
        <w:rPr>
          <w:rFonts w:ascii="宋体" w:hAnsi="宋体" w:eastAsia="宋体" w:cs="宋体"/>
          <w:spacing w:val="5"/>
          <w:sz w:val="28"/>
          <w:szCs w:val="28"/>
          <w:lang w:eastAsia="zh-CN"/>
        </w:rPr>
        <w:t>个阶段，分为近期（2025.12-20</w:t>
      </w:r>
      <w:r>
        <w:rPr>
          <w:rFonts w:hint="eastAsia" w:ascii="宋体" w:hAnsi="宋体" w:eastAsia="宋体" w:cs="宋体"/>
          <w:spacing w:val="5"/>
          <w:sz w:val="28"/>
          <w:szCs w:val="28"/>
          <w:lang w:val="en-US" w:eastAsia="zh-CN"/>
        </w:rPr>
        <w:t>26</w:t>
      </w:r>
      <w:r>
        <w:rPr>
          <w:rFonts w:ascii="宋体" w:hAnsi="宋体" w:eastAsia="宋体" w:cs="宋体"/>
          <w:spacing w:val="4"/>
          <w:sz w:val="28"/>
          <w:szCs w:val="28"/>
          <w:lang w:eastAsia="zh-CN"/>
        </w:rPr>
        <w:t>.12）</w:t>
      </w:r>
      <w:r>
        <w:rPr>
          <w:rFonts w:ascii="宋体" w:hAnsi="宋体" w:eastAsia="宋体" w:cs="宋体"/>
          <w:sz w:val="28"/>
          <w:szCs w:val="28"/>
          <w:lang w:eastAsia="zh-CN"/>
        </w:rPr>
        <w:t>和远期（20</w:t>
      </w:r>
      <w:r>
        <w:rPr>
          <w:rFonts w:hint="eastAsia" w:ascii="宋体" w:hAnsi="宋体" w:eastAsia="宋体" w:cs="宋体"/>
          <w:sz w:val="28"/>
          <w:szCs w:val="28"/>
          <w:lang w:val="en-US" w:eastAsia="zh-CN"/>
        </w:rPr>
        <w:t>26.12</w:t>
      </w:r>
      <w:r>
        <w:rPr>
          <w:rFonts w:ascii="宋体" w:hAnsi="宋体" w:eastAsia="宋体" w:cs="宋体"/>
          <w:spacing w:val="-1"/>
          <w:sz w:val="28"/>
          <w:szCs w:val="28"/>
          <w:lang w:eastAsia="zh-CN"/>
        </w:rPr>
        <w:t>-20</w:t>
      </w:r>
      <w:r>
        <w:rPr>
          <w:rFonts w:hint="eastAsia" w:ascii="宋体" w:hAnsi="宋体" w:eastAsia="宋体" w:cs="宋体"/>
          <w:spacing w:val="-1"/>
          <w:sz w:val="28"/>
          <w:szCs w:val="28"/>
          <w:lang w:val="en-US" w:eastAsia="zh-CN"/>
        </w:rPr>
        <w:t>27</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6</w:t>
      </w:r>
      <w:r>
        <w:rPr>
          <w:rFonts w:ascii="宋体" w:hAnsi="宋体" w:eastAsia="宋体" w:cs="宋体"/>
          <w:spacing w:val="-1"/>
          <w:sz w:val="28"/>
          <w:szCs w:val="28"/>
          <w:lang w:eastAsia="zh-CN"/>
        </w:rPr>
        <w:t>）。</w:t>
      </w:r>
    </w:p>
    <w:p w14:paraId="7115952E">
      <w:pPr>
        <w:kinsoku/>
        <w:adjustRightInd/>
        <w:snapToGrid/>
        <w:spacing w:line="360" w:lineRule="auto"/>
        <w:ind w:firstLine="556" w:firstLineChars="200"/>
        <w:jc w:val="both"/>
        <w:rPr>
          <w:rFonts w:hint="eastAsia" w:ascii="宋体" w:hAnsi="宋体" w:eastAsia="宋体" w:cs="宋体"/>
          <w:sz w:val="28"/>
          <w:szCs w:val="28"/>
          <w:lang w:eastAsia="zh-CN"/>
        </w:rPr>
      </w:pPr>
      <w:r>
        <w:rPr>
          <w:rFonts w:ascii="宋体" w:hAnsi="宋体" w:eastAsia="宋体" w:cs="宋体"/>
          <w:spacing w:val="-1"/>
          <w:sz w:val="28"/>
          <w:szCs w:val="28"/>
          <w:lang w:eastAsia="zh-CN"/>
        </w:rPr>
        <w:t>1、近期（2025.12-20</w:t>
      </w:r>
      <w:r>
        <w:rPr>
          <w:rFonts w:hint="eastAsia" w:ascii="宋体" w:hAnsi="宋体" w:eastAsia="宋体" w:cs="宋体"/>
          <w:spacing w:val="-1"/>
          <w:sz w:val="28"/>
          <w:szCs w:val="28"/>
          <w:lang w:val="en-US" w:eastAsia="zh-CN"/>
        </w:rPr>
        <w:t>26</w:t>
      </w:r>
      <w:r>
        <w:rPr>
          <w:rFonts w:ascii="宋体" w:hAnsi="宋体" w:eastAsia="宋体" w:cs="宋体"/>
          <w:spacing w:val="-1"/>
          <w:sz w:val="28"/>
          <w:szCs w:val="28"/>
          <w:lang w:eastAsia="zh-CN"/>
        </w:rPr>
        <w:t>.12）</w:t>
      </w:r>
      <w:r>
        <w:rPr>
          <w:rFonts w:ascii="宋体" w:hAnsi="宋体" w:eastAsia="宋体" w:cs="宋体"/>
          <w:spacing w:val="-2"/>
          <w:sz w:val="28"/>
          <w:szCs w:val="28"/>
          <w:lang w:eastAsia="zh-CN"/>
        </w:rPr>
        <w:t>实施计划</w:t>
      </w:r>
    </w:p>
    <w:p w14:paraId="6408FC05">
      <w:pPr>
        <w:kinsoku/>
        <w:adjustRightInd/>
        <w:snapToGrid/>
        <w:spacing w:line="360" w:lineRule="auto"/>
        <w:ind w:firstLine="568" w:firstLineChars="200"/>
        <w:jc w:val="both"/>
        <w:rPr>
          <w:rFonts w:hint="eastAsia" w:ascii="宋体" w:hAnsi="宋体" w:eastAsia="宋体" w:cs="宋体"/>
          <w:sz w:val="28"/>
          <w:szCs w:val="28"/>
          <w:lang w:eastAsia="zh-CN"/>
        </w:rPr>
      </w:pPr>
      <w:r>
        <w:rPr>
          <w:rFonts w:ascii="宋体" w:hAnsi="宋体" w:eastAsia="宋体" w:cs="宋体"/>
          <w:spacing w:val="2"/>
          <w:sz w:val="28"/>
          <w:szCs w:val="28"/>
          <w:lang w:eastAsia="zh-CN"/>
        </w:rPr>
        <w:t>采矿期间按照边生产边治理的原则，对于矿山建设、</w:t>
      </w:r>
      <w:r>
        <w:rPr>
          <w:rFonts w:ascii="宋体" w:hAnsi="宋体" w:eastAsia="宋体" w:cs="宋体"/>
          <w:spacing w:val="1"/>
          <w:sz w:val="28"/>
          <w:szCs w:val="28"/>
          <w:lang w:eastAsia="zh-CN"/>
        </w:rPr>
        <w:t>采矿引发的矿山</w:t>
      </w:r>
      <w:r>
        <w:rPr>
          <w:rFonts w:ascii="宋体" w:hAnsi="宋体" w:eastAsia="宋体" w:cs="宋体"/>
          <w:spacing w:val="2"/>
          <w:sz w:val="28"/>
          <w:szCs w:val="28"/>
          <w:lang w:eastAsia="zh-CN"/>
        </w:rPr>
        <w:t>地质环境问题，在不影响生产前提下边生产边治理</w:t>
      </w:r>
      <w:r>
        <w:rPr>
          <w:rFonts w:ascii="宋体" w:hAnsi="宋体" w:eastAsia="宋体" w:cs="宋体"/>
          <w:spacing w:val="1"/>
          <w:sz w:val="28"/>
          <w:szCs w:val="28"/>
          <w:lang w:eastAsia="zh-CN"/>
        </w:rPr>
        <w:t>，对开采过程中形成的</w:t>
      </w:r>
      <w:r>
        <w:rPr>
          <w:rFonts w:ascii="宋体" w:hAnsi="宋体" w:eastAsia="宋体" w:cs="宋体"/>
          <w:spacing w:val="-2"/>
          <w:sz w:val="28"/>
          <w:szCs w:val="28"/>
          <w:lang w:eastAsia="zh-CN"/>
        </w:rPr>
        <w:t>终了边坡进行台阶修整和恢复治理，并继续开展地质</w:t>
      </w:r>
      <w:r>
        <w:rPr>
          <w:rFonts w:ascii="宋体" w:hAnsi="宋体" w:eastAsia="宋体" w:cs="宋体"/>
          <w:spacing w:val="-3"/>
          <w:sz w:val="28"/>
          <w:szCs w:val="28"/>
          <w:lang w:eastAsia="zh-CN"/>
        </w:rPr>
        <w:t>灾害防治及监测工作，</w:t>
      </w:r>
      <w:r>
        <w:rPr>
          <w:rFonts w:ascii="宋体" w:hAnsi="宋体" w:eastAsia="宋体" w:cs="宋体"/>
          <w:sz w:val="28"/>
          <w:szCs w:val="28"/>
          <w:lang w:eastAsia="zh-CN"/>
        </w:rPr>
        <w:t>修建采场外围的截排水沟，对开采过程中产生</w:t>
      </w:r>
      <w:r>
        <w:rPr>
          <w:rFonts w:ascii="宋体" w:hAnsi="宋体" w:eastAsia="宋体" w:cs="宋体"/>
          <w:spacing w:val="-1"/>
          <w:sz w:val="28"/>
          <w:szCs w:val="28"/>
          <w:lang w:eastAsia="zh-CN"/>
        </w:rPr>
        <w:t>的</w:t>
      </w:r>
      <w:r>
        <w:rPr>
          <w:rFonts w:hint="eastAsia" w:ascii="宋体" w:hAnsi="宋体" w:eastAsia="宋体" w:cs="宋体"/>
          <w:spacing w:val="-1"/>
          <w:sz w:val="28"/>
          <w:szCs w:val="28"/>
          <w:lang w:eastAsia="zh-CN"/>
        </w:rPr>
        <w:t>风成沙及坡积物清理</w:t>
      </w:r>
      <w:r>
        <w:rPr>
          <w:rFonts w:ascii="宋体" w:hAnsi="宋体" w:eastAsia="宋体" w:cs="宋体"/>
          <w:spacing w:val="-1"/>
          <w:sz w:val="28"/>
          <w:szCs w:val="28"/>
          <w:lang w:eastAsia="zh-CN"/>
        </w:rPr>
        <w:t>及时进行清理。</w:t>
      </w:r>
    </w:p>
    <w:p w14:paraId="69C4384B">
      <w:pPr>
        <w:kinsoku/>
        <w:adjustRightInd/>
        <w:snapToGrid/>
        <w:spacing w:line="360" w:lineRule="auto"/>
        <w:ind w:firstLine="556" w:firstLineChars="200"/>
        <w:jc w:val="both"/>
        <w:rPr>
          <w:rFonts w:hint="eastAsia" w:ascii="宋体" w:hAnsi="宋体" w:eastAsia="宋体" w:cs="宋体"/>
          <w:sz w:val="28"/>
          <w:szCs w:val="28"/>
          <w:lang w:eastAsia="zh-CN"/>
        </w:rPr>
      </w:pPr>
      <w:r>
        <w:rPr>
          <w:rFonts w:hint="eastAsia" w:ascii="宋体" w:hAnsi="宋体" w:eastAsia="宋体" w:cs="宋体"/>
          <w:spacing w:val="-1"/>
          <w:sz w:val="28"/>
          <w:szCs w:val="28"/>
          <w:lang w:val="en-US" w:eastAsia="zh-CN"/>
        </w:rPr>
        <w:t>2、</w:t>
      </w:r>
      <w:r>
        <w:rPr>
          <w:rFonts w:ascii="宋体" w:hAnsi="宋体" w:eastAsia="宋体" w:cs="宋体"/>
          <w:spacing w:val="-1"/>
          <w:sz w:val="28"/>
          <w:szCs w:val="28"/>
          <w:lang w:eastAsia="zh-CN"/>
        </w:rPr>
        <w:t>远期（20</w:t>
      </w:r>
      <w:r>
        <w:rPr>
          <w:rFonts w:hint="eastAsia" w:ascii="宋体" w:hAnsi="宋体" w:eastAsia="宋体" w:cs="宋体"/>
          <w:spacing w:val="-1"/>
          <w:sz w:val="28"/>
          <w:szCs w:val="28"/>
          <w:lang w:val="en-US" w:eastAsia="zh-CN"/>
        </w:rPr>
        <w:t>26.12</w:t>
      </w:r>
      <w:r>
        <w:rPr>
          <w:rFonts w:ascii="宋体" w:hAnsi="宋体" w:eastAsia="宋体" w:cs="宋体"/>
          <w:spacing w:val="-1"/>
          <w:sz w:val="28"/>
          <w:szCs w:val="28"/>
          <w:lang w:eastAsia="zh-CN"/>
        </w:rPr>
        <w:t>-20</w:t>
      </w:r>
      <w:r>
        <w:rPr>
          <w:rFonts w:hint="eastAsia" w:ascii="宋体" w:hAnsi="宋体" w:eastAsia="宋体" w:cs="宋体"/>
          <w:spacing w:val="-1"/>
          <w:sz w:val="28"/>
          <w:szCs w:val="28"/>
          <w:lang w:val="en-US" w:eastAsia="zh-CN"/>
        </w:rPr>
        <w:t>27</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6</w:t>
      </w:r>
      <w:r>
        <w:rPr>
          <w:rFonts w:ascii="宋体" w:hAnsi="宋体" w:eastAsia="宋体" w:cs="宋体"/>
          <w:spacing w:val="-1"/>
          <w:sz w:val="28"/>
          <w:szCs w:val="28"/>
          <w:lang w:eastAsia="zh-CN"/>
        </w:rPr>
        <w:t>）实施计划</w:t>
      </w:r>
    </w:p>
    <w:p w14:paraId="27B08C3C">
      <w:pPr>
        <w:kinsoku/>
        <w:adjustRightInd/>
        <w:snapToGrid/>
        <w:spacing w:line="360" w:lineRule="auto"/>
        <w:ind w:firstLine="564" w:firstLineChars="200"/>
        <w:jc w:val="both"/>
        <w:rPr>
          <w:rFonts w:hint="eastAsia" w:ascii="宋体" w:hAnsi="宋体" w:eastAsia="宋体" w:cs="宋体"/>
          <w:sz w:val="28"/>
          <w:szCs w:val="28"/>
          <w:lang w:eastAsia="zh-CN"/>
        </w:rPr>
      </w:pPr>
      <w:r>
        <w:rPr>
          <w:rFonts w:ascii="宋体" w:hAnsi="宋体" w:eastAsia="宋体" w:cs="宋体"/>
          <w:spacing w:val="1"/>
          <w:sz w:val="28"/>
          <w:szCs w:val="28"/>
          <w:lang w:eastAsia="zh-CN"/>
        </w:rPr>
        <w:t>该期为矿山</w:t>
      </w:r>
      <w:r>
        <w:rPr>
          <w:rFonts w:hint="eastAsia" w:ascii="宋体" w:hAnsi="宋体" w:eastAsia="宋体" w:cs="宋体"/>
          <w:spacing w:val="1"/>
          <w:sz w:val="28"/>
          <w:szCs w:val="28"/>
          <w:lang w:eastAsia="zh-CN"/>
        </w:rPr>
        <w:t>修复治理</w:t>
      </w:r>
      <w:r>
        <w:rPr>
          <w:rFonts w:ascii="宋体" w:hAnsi="宋体" w:eastAsia="宋体" w:cs="宋体"/>
          <w:spacing w:val="1"/>
          <w:sz w:val="28"/>
          <w:szCs w:val="28"/>
          <w:lang w:eastAsia="zh-CN"/>
        </w:rPr>
        <w:t>期，</w:t>
      </w:r>
      <w:r>
        <w:rPr>
          <w:rFonts w:ascii="宋体" w:hAnsi="宋体" w:eastAsia="宋体" w:cs="宋体"/>
          <w:spacing w:val="2"/>
          <w:sz w:val="28"/>
          <w:szCs w:val="28"/>
          <w:lang w:eastAsia="zh-CN"/>
        </w:rPr>
        <w:t>采矿工作结束，对生产中未治理的问题全</w:t>
      </w:r>
      <w:r>
        <w:rPr>
          <w:rFonts w:ascii="宋体" w:hAnsi="宋体" w:eastAsia="宋体" w:cs="宋体"/>
          <w:spacing w:val="1"/>
          <w:sz w:val="28"/>
          <w:szCs w:val="28"/>
          <w:lang w:eastAsia="zh-CN"/>
        </w:rPr>
        <w:t>面治理。对各单元场</w:t>
      </w:r>
      <w:r>
        <w:rPr>
          <w:rFonts w:ascii="宋体" w:hAnsi="宋体" w:eastAsia="宋体" w:cs="宋体"/>
          <w:spacing w:val="2"/>
          <w:sz w:val="28"/>
          <w:szCs w:val="28"/>
          <w:lang w:eastAsia="zh-CN"/>
        </w:rPr>
        <w:t>地进行平整，</w:t>
      </w:r>
      <w:r>
        <w:rPr>
          <w:rFonts w:hint="eastAsia" w:ascii="宋体" w:hAnsi="宋体" w:eastAsia="宋体" w:cs="宋体"/>
          <w:spacing w:val="2"/>
          <w:sz w:val="28"/>
          <w:szCs w:val="28"/>
          <w:lang w:eastAsia="zh-CN"/>
        </w:rPr>
        <w:t>修复</w:t>
      </w:r>
      <w:r>
        <w:rPr>
          <w:rFonts w:ascii="宋体" w:hAnsi="宋体" w:eastAsia="宋体" w:cs="宋体"/>
          <w:spacing w:val="2"/>
          <w:sz w:val="28"/>
          <w:szCs w:val="28"/>
          <w:lang w:eastAsia="zh-CN"/>
        </w:rPr>
        <w:t>后进行监测，最后竣工验收</w:t>
      </w:r>
      <w:r>
        <w:rPr>
          <w:rFonts w:ascii="宋体" w:hAnsi="宋体" w:eastAsia="宋体" w:cs="宋体"/>
          <w:spacing w:val="1"/>
          <w:sz w:val="28"/>
          <w:szCs w:val="28"/>
          <w:lang w:eastAsia="zh-CN"/>
        </w:rPr>
        <w:t>。矿山生态修复工作</w:t>
      </w:r>
      <w:r>
        <w:rPr>
          <w:rFonts w:ascii="宋体" w:hAnsi="宋体" w:eastAsia="宋体" w:cs="宋体"/>
          <w:spacing w:val="-1"/>
          <w:sz w:val="28"/>
          <w:szCs w:val="28"/>
          <w:lang w:eastAsia="zh-CN"/>
        </w:rPr>
        <w:t>部署见表</w:t>
      </w:r>
      <w:r>
        <w:rPr>
          <w:rFonts w:hint="eastAsia" w:ascii="宋体" w:hAnsi="宋体" w:eastAsia="宋体" w:cs="宋体"/>
          <w:spacing w:val="-1"/>
          <w:sz w:val="28"/>
          <w:szCs w:val="28"/>
          <w:lang w:eastAsia="zh-CN"/>
        </w:rPr>
        <w:t>3-19</w:t>
      </w:r>
      <w:r>
        <w:rPr>
          <w:rFonts w:ascii="宋体" w:hAnsi="宋体" w:eastAsia="宋体" w:cs="宋体"/>
          <w:spacing w:val="-1"/>
          <w:sz w:val="28"/>
          <w:szCs w:val="28"/>
          <w:lang w:eastAsia="zh-CN"/>
        </w:rPr>
        <w:t>。</w:t>
      </w:r>
    </w:p>
    <w:p w14:paraId="5D88FC3F">
      <w:pPr>
        <w:jc w:val="center"/>
        <w:rPr>
          <w:rFonts w:hint="eastAsia" w:ascii="宋体" w:hAnsi="宋体" w:eastAsia="宋体" w:cs="宋体"/>
          <w:b/>
          <w:bCs/>
          <w:lang w:eastAsia="zh-CN"/>
        </w:rPr>
      </w:pPr>
      <w:r>
        <w:rPr>
          <w:rFonts w:hint="eastAsia" w:ascii="宋体" w:hAnsi="宋体" w:eastAsia="宋体" w:cs="宋体"/>
          <w:b/>
          <w:bCs/>
          <w:lang w:eastAsia="zh-CN"/>
        </w:rPr>
        <w:t>表3-19  矿山生态修复工程施工进度计划表</w:t>
      </w:r>
    </w:p>
    <w:tbl>
      <w:tblPr>
        <w:tblStyle w:val="22"/>
        <w:tblW w:w="8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21"/>
        <w:gridCol w:w="2835"/>
        <w:gridCol w:w="3495"/>
      </w:tblGrid>
      <w:tr w14:paraId="6BC18C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6" w:hRule="atLeast"/>
        </w:trPr>
        <w:tc>
          <w:tcPr>
            <w:tcW w:w="2021" w:type="dxa"/>
            <w:vMerge w:val="restart"/>
            <w:tcBorders>
              <w:bottom w:val="nil"/>
            </w:tcBorders>
          </w:tcPr>
          <w:p w14:paraId="6B41F3F2">
            <w:pPr>
              <w:spacing w:line="270" w:lineRule="auto"/>
              <w:rPr>
                <w:lang w:eastAsia="zh-CN"/>
              </w:rPr>
            </w:pPr>
          </w:p>
          <w:p w14:paraId="5C387CCE">
            <w:pPr>
              <w:spacing w:line="270" w:lineRule="auto"/>
              <w:rPr>
                <w:lang w:eastAsia="zh-CN"/>
              </w:rPr>
            </w:pPr>
          </w:p>
          <w:p w14:paraId="7E18C845">
            <w:pPr>
              <w:pStyle w:val="23"/>
              <w:spacing w:before="58" w:line="220" w:lineRule="auto"/>
              <w:ind w:left="478"/>
              <w:rPr>
                <w:rFonts w:hint="eastAsia"/>
                <w:sz w:val="18"/>
                <w:szCs w:val="18"/>
              </w:rPr>
            </w:pPr>
            <w:r>
              <w:rPr>
                <w:spacing w:val="3"/>
                <w:sz w:val="18"/>
                <w:szCs w:val="18"/>
              </w:rPr>
              <w:t>工程名称</w:t>
            </w:r>
          </w:p>
        </w:tc>
        <w:tc>
          <w:tcPr>
            <w:tcW w:w="6330" w:type="dxa"/>
            <w:gridSpan w:val="2"/>
          </w:tcPr>
          <w:p w14:paraId="17C7EC51">
            <w:pPr>
              <w:pStyle w:val="23"/>
              <w:spacing w:before="122" w:line="219" w:lineRule="auto"/>
              <w:ind w:left="3559"/>
              <w:rPr>
                <w:rFonts w:hint="eastAsia"/>
                <w:sz w:val="18"/>
                <w:szCs w:val="18"/>
              </w:rPr>
            </w:pPr>
            <w:r>
              <w:rPr>
                <w:spacing w:val="-4"/>
                <w:sz w:val="18"/>
                <w:szCs w:val="18"/>
              </w:rPr>
              <w:t>年份</w:t>
            </w:r>
          </w:p>
        </w:tc>
      </w:tr>
      <w:tr w14:paraId="7B1A0A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2" w:hRule="atLeast"/>
        </w:trPr>
        <w:tc>
          <w:tcPr>
            <w:tcW w:w="2021" w:type="dxa"/>
            <w:vMerge w:val="continue"/>
            <w:tcBorders>
              <w:top w:val="nil"/>
              <w:bottom w:val="single" w:color="auto" w:sz="4" w:space="0"/>
            </w:tcBorders>
          </w:tcPr>
          <w:p w14:paraId="7B3C0473"/>
        </w:tc>
        <w:tc>
          <w:tcPr>
            <w:tcW w:w="2835" w:type="dxa"/>
            <w:tcBorders>
              <w:bottom w:val="single" w:color="auto" w:sz="4" w:space="0"/>
            </w:tcBorders>
            <w:vAlign w:val="center"/>
          </w:tcPr>
          <w:p w14:paraId="4883B094">
            <w:pPr>
              <w:pStyle w:val="23"/>
              <w:adjustRightInd/>
              <w:snapToGrid/>
              <w:jc w:val="center"/>
              <w:rPr>
                <w:rFonts w:hint="eastAsia"/>
                <w:sz w:val="18"/>
                <w:szCs w:val="18"/>
              </w:rPr>
            </w:pPr>
            <w:r>
              <w:rPr>
                <w:sz w:val="18"/>
                <w:szCs w:val="18"/>
              </w:rPr>
              <w:t>近期（2025.1</w:t>
            </w:r>
            <w:r>
              <w:rPr>
                <w:rFonts w:ascii="仿宋" w:hAnsi="仿宋" w:eastAsia="仿宋" w:cs="仿宋"/>
                <w:sz w:val="18"/>
                <w:szCs w:val="18"/>
              </w:rPr>
              <w:t>2-</w:t>
            </w:r>
            <w:r>
              <w:rPr>
                <w:sz w:val="18"/>
                <w:szCs w:val="18"/>
              </w:rPr>
              <w:t>20</w:t>
            </w:r>
            <w:r>
              <w:rPr>
                <w:rFonts w:hint="eastAsia"/>
                <w:sz w:val="18"/>
                <w:szCs w:val="18"/>
                <w:lang w:val="en-US" w:eastAsia="zh-CN"/>
              </w:rPr>
              <w:t>26</w:t>
            </w:r>
            <w:r>
              <w:rPr>
                <w:sz w:val="18"/>
                <w:szCs w:val="18"/>
              </w:rPr>
              <w:t>.1</w:t>
            </w:r>
            <w:r>
              <w:rPr>
                <w:rFonts w:ascii="仿宋" w:hAnsi="仿宋" w:eastAsia="仿宋" w:cs="仿宋"/>
                <w:sz w:val="18"/>
                <w:szCs w:val="18"/>
              </w:rPr>
              <w:t>2</w:t>
            </w:r>
            <w:r>
              <w:rPr>
                <w:sz w:val="18"/>
                <w:szCs w:val="18"/>
              </w:rPr>
              <w:t>）</w:t>
            </w:r>
          </w:p>
        </w:tc>
        <w:tc>
          <w:tcPr>
            <w:tcW w:w="3495" w:type="dxa"/>
            <w:vAlign w:val="center"/>
          </w:tcPr>
          <w:p w14:paraId="654346E0">
            <w:pPr>
              <w:pStyle w:val="23"/>
              <w:adjustRightInd/>
              <w:snapToGrid/>
              <w:jc w:val="center"/>
              <w:rPr>
                <w:spacing w:val="3"/>
                <w:sz w:val="18"/>
                <w:szCs w:val="18"/>
              </w:rPr>
            </w:pPr>
            <w:r>
              <w:rPr>
                <w:spacing w:val="3"/>
                <w:sz w:val="18"/>
                <w:szCs w:val="18"/>
              </w:rPr>
              <w:t>远期（20</w:t>
            </w:r>
            <w:r>
              <w:rPr>
                <w:rFonts w:hint="eastAsia"/>
                <w:spacing w:val="3"/>
                <w:sz w:val="18"/>
                <w:szCs w:val="18"/>
                <w:lang w:val="en-US" w:eastAsia="zh-CN"/>
              </w:rPr>
              <w:t>26</w:t>
            </w:r>
            <w:r>
              <w:rPr>
                <w:rFonts w:ascii="仿宋" w:hAnsi="仿宋" w:eastAsia="仿宋" w:cs="仿宋"/>
                <w:spacing w:val="3"/>
                <w:sz w:val="18"/>
                <w:szCs w:val="18"/>
              </w:rPr>
              <w:t>.</w:t>
            </w:r>
            <w:r>
              <w:rPr>
                <w:rFonts w:hint="eastAsia" w:ascii="仿宋" w:hAnsi="仿宋" w:eastAsia="仿宋" w:cs="仿宋"/>
                <w:spacing w:val="3"/>
                <w:sz w:val="18"/>
                <w:szCs w:val="18"/>
                <w:lang w:val="en-US" w:eastAsia="zh-CN"/>
              </w:rPr>
              <w:t>12</w:t>
            </w:r>
            <w:r>
              <w:rPr>
                <w:rFonts w:ascii="仿宋" w:hAnsi="仿宋" w:eastAsia="仿宋" w:cs="仿宋"/>
                <w:spacing w:val="3"/>
                <w:sz w:val="18"/>
                <w:szCs w:val="18"/>
              </w:rPr>
              <w:t>-</w:t>
            </w:r>
            <w:r>
              <w:rPr>
                <w:spacing w:val="3"/>
                <w:sz w:val="18"/>
                <w:szCs w:val="18"/>
              </w:rPr>
              <w:t>20</w:t>
            </w:r>
            <w:r>
              <w:rPr>
                <w:rFonts w:hint="eastAsia"/>
                <w:spacing w:val="3"/>
                <w:sz w:val="18"/>
                <w:szCs w:val="18"/>
                <w:lang w:val="en-US" w:eastAsia="zh-CN"/>
              </w:rPr>
              <w:t>27</w:t>
            </w:r>
            <w:r>
              <w:rPr>
                <w:spacing w:val="3"/>
                <w:sz w:val="18"/>
                <w:szCs w:val="18"/>
              </w:rPr>
              <w:t>.</w:t>
            </w:r>
            <w:r>
              <w:rPr>
                <w:rFonts w:hint="eastAsia"/>
                <w:spacing w:val="3"/>
                <w:sz w:val="18"/>
                <w:szCs w:val="18"/>
                <w:lang w:val="en-US" w:eastAsia="zh-CN"/>
              </w:rPr>
              <w:t>6）</w:t>
            </w:r>
          </w:p>
        </w:tc>
      </w:tr>
      <w:tr w14:paraId="5765D7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021" w:type="dxa"/>
            <w:tcBorders>
              <w:top w:val="single" w:color="auto" w:sz="4" w:space="0"/>
            </w:tcBorders>
            <w:vAlign w:val="center"/>
          </w:tcPr>
          <w:p w14:paraId="7097C2E1">
            <w:pPr>
              <w:keepNext w:val="0"/>
              <w:keepLines w:val="0"/>
              <w:pageBreakBefore w:val="0"/>
              <w:widowControl w:val="0"/>
              <w:kinsoku w:val="0"/>
              <w:wordWrap/>
              <w:overflowPunct/>
              <w:topLinePunct w:val="0"/>
              <w:autoSpaceDE w:val="0"/>
              <w:autoSpaceDN w:val="0"/>
              <w:bidi w:val="0"/>
              <w:adjustRightInd/>
              <w:snapToGrid/>
              <w:spacing w:line="240" w:lineRule="auto"/>
              <w:ind w:left="0"/>
              <w:jc w:val="center"/>
              <w:textAlignment w:val="baseline"/>
              <w:rPr>
                <w:rFonts w:hint="eastAsia" w:eastAsia="宋体"/>
                <w:lang w:eastAsia="zh-CN"/>
              </w:rPr>
            </w:pPr>
            <w:r>
              <w:rPr>
                <w:rFonts w:hint="eastAsia" w:eastAsia="宋体"/>
                <w:lang w:eastAsia="zh-CN"/>
              </w:rPr>
              <w:t>风成沙及坡积物清理</w:t>
            </w:r>
          </w:p>
        </w:tc>
        <w:tc>
          <w:tcPr>
            <w:tcW w:w="2835" w:type="dxa"/>
            <w:tcBorders>
              <w:top w:val="single" w:color="auto" w:sz="4" w:space="0"/>
            </w:tcBorders>
          </w:tcPr>
          <w:p w14:paraId="091C2DF9">
            <w:pPr>
              <w:spacing w:line="59" w:lineRule="exact"/>
              <w:rPr>
                <w:sz w:val="5"/>
              </w:rPr>
            </w:pPr>
            <w:r>
              <w:rPr>
                <w:rFonts w:hint="eastAsia" w:ascii="宋体" w:hAnsi="宋体" w:eastAsia="宋体" w:cs="宋体"/>
                <w:b/>
                <w:bCs/>
              </w:rPr>
              <w:drawing>
                <wp:anchor distT="0" distB="0" distL="0" distR="0" simplePos="0" relativeHeight="251668480" behindDoc="0" locked="0" layoutInCell="1" allowOverlap="1">
                  <wp:simplePos x="0" y="0"/>
                  <wp:positionH relativeFrom="column">
                    <wp:posOffset>635</wp:posOffset>
                  </wp:positionH>
                  <wp:positionV relativeFrom="paragraph">
                    <wp:posOffset>101600</wp:posOffset>
                  </wp:positionV>
                  <wp:extent cx="4030345" cy="76200"/>
                  <wp:effectExtent l="0" t="0" r="8255" b="0"/>
                  <wp:wrapNone/>
                  <wp:docPr id="10" name="IM 68"/>
                  <wp:cNvGraphicFramePr/>
                  <a:graphic xmlns:a="http://schemas.openxmlformats.org/drawingml/2006/main">
                    <a:graphicData uri="http://schemas.openxmlformats.org/drawingml/2006/picture">
                      <pic:pic xmlns:pic="http://schemas.openxmlformats.org/drawingml/2006/picture">
                        <pic:nvPicPr>
                          <pic:cNvPr id="10" name="IM 68"/>
                          <pic:cNvPicPr/>
                        </pic:nvPicPr>
                        <pic:blipFill>
                          <a:blip r:embed="rId23"/>
                          <a:stretch>
                            <a:fillRect/>
                          </a:stretch>
                        </pic:blipFill>
                        <pic:spPr>
                          <a:xfrm>
                            <a:off x="0" y="0"/>
                            <a:ext cx="4030345" cy="76200"/>
                          </a:xfrm>
                          <a:prstGeom prst="rect">
                            <a:avLst/>
                          </a:prstGeom>
                        </pic:spPr>
                      </pic:pic>
                    </a:graphicData>
                  </a:graphic>
                </wp:anchor>
              </w:drawing>
            </w:r>
          </w:p>
        </w:tc>
        <w:tc>
          <w:tcPr>
            <w:tcW w:w="3495" w:type="dxa"/>
          </w:tcPr>
          <w:p w14:paraId="4E8A5A33"/>
        </w:tc>
      </w:tr>
      <w:tr w14:paraId="631A49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021" w:type="dxa"/>
            <w:vAlign w:val="center"/>
          </w:tcPr>
          <w:p w14:paraId="5E5D1560">
            <w:pPr>
              <w:pStyle w:val="23"/>
              <w:keepNext w:val="0"/>
              <w:keepLines w:val="0"/>
              <w:pageBreakBefore w:val="0"/>
              <w:widowControl w:val="0"/>
              <w:kinsoku w:val="0"/>
              <w:wordWrap/>
              <w:overflowPunct/>
              <w:topLinePunct w:val="0"/>
              <w:autoSpaceDE w:val="0"/>
              <w:autoSpaceDN w:val="0"/>
              <w:bidi w:val="0"/>
              <w:adjustRightInd/>
              <w:snapToGrid/>
              <w:spacing w:line="240" w:lineRule="auto"/>
              <w:ind w:left="0"/>
              <w:jc w:val="center"/>
              <w:textAlignment w:val="baseline"/>
              <w:rPr>
                <w:rFonts w:hint="eastAsia"/>
                <w:sz w:val="18"/>
                <w:szCs w:val="18"/>
              </w:rPr>
            </w:pPr>
            <w:r>
              <w:rPr>
                <w:spacing w:val="5"/>
                <w:sz w:val="18"/>
                <w:szCs w:val="18"/>
              </w:rPr>
              <w:t>采场截排水沟</w:t>
            </w:r>
          </w:p>
        </w:tc>
        <w:tc>
          <w:tcPr>
            <w:tcW w:w="2835" w:type="dxa"/>
          </w:tcPr>
          <w:p w14:paraId="3409E1B0">
            <w:r>
              <w:rPr>
                <w:rFonts w:hint="eastAsia" w:ascii="宋体" w:hAnsi="宋体" w:eastAsia="宋体" w:cs="宋体"/>
                <w:b/>
                <w:bCs/>
              </w:rPr>
              <mc:AlternateContent>
                <mc:Choice Requires="wps">
                  <w:drawing>
                    <wp:anchor distT="0" distB="0" distL="114300" distR="114300" simplePos="0" relativeHeight="251663360" behindDoc="0" locked="0" layoutInCell="1" allowOverlap="1">
                      <wp:simplePos x="0" y="0"/>
                      <wp:positionH relativeFrom="column">
                        <wp:posOffset>7620</wp:posOffset>
                      </wp:positionH>
                      <wp:positionV relativeFrom="paragraph">
                        <wp:posOffset>120650</wp:posOffset>
                      </wp:positionV>
                      <wp:extent cx="340360" cy="63500"/>
                      <wp:effectExtent l="0" t="0" r="8890" b="0"/>
                      <wp:wrapNone/>
                      <wp:docPr id="3" name="矩形 3"/>
                      <wp:cNvGraphicFramePr/>
                      <a:graphic xmlns:a="http://schemas.openxmlformats.org/drawingml/2006/main">
                        <a:graphicData uri="http://schemas.microsoft.com/office/word/2010/wordprocessingShape">
                          <wps:wsp>
                            <wps:cNvSpPr/>
                            <wps:spPr>
                              <a:xfrm>
                                <a:off x="0" y="0"/>
                                <a:ext cx="340360" cy="63500"/>
                              </a:xfrm>
                              <a:prstGeom prst="rect">
                                <a:avLst/>
                              </a:prstGeom>
                              <a:solidFill>
                                <a:srgbClr val="000000"/>
                              </a:solidFill>
                              <a:ln>
                                <a:noFill/>
                              </a:ln>
                            </wps:spPr>
                            <wps:bodyPr upright="1"/>
                          </wps:wsp>
                        </a:graphicData>
                      </a:graphic>
                    </wp:anchor>
                  </w:drawing>
                </mc:Choice>
                <mc:Fallback>
                  <w:pict>
                    <v:rect id="_x0000_s1026" o:spid="_x0000_s1026" o:spt="1" style="position:absolute;left:0pt;margin-left:0.6pt;margin-top:9.5pt;height:5pt;width:26.8pt;z-index:251663360;mso-width-relative:page;mso-height-relative:page;" fillcolor="#000000" filled="t" stroked="f" coordsize="21600,21600" o:gfxdata="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ADP0h1AAA&#10;AAYBAAAPAAAAAAAAAAEAIAAAACIAAABkcnMvZG93bnJldi54bWxQSwECFAAUAAAACACHTuJAA+37&#10;h7ABAABdAwAADgAAAAAAAAABACAAAAAjAQAAZHJzL2Uyb0RvYy54bWxQSwUGAAAAAAYABgBZAQAA&#10;RQUAAAAA&#10;">
                      <v:fill on="t" focussize="0,0"/>
                      <v:stroke on="f"/>
                      <v:imagedata o:title=""/>
                      <o:lock v:ext="edit" aspectratio="f"/>
                    </v:rect>
                  </w:pict>
                </mc:Fallback>
              </mc:AlternateContent>
            </w:r>
          </w:p>
        </w:tc>
        <w:tc>
          <w:tcPr>
            <w:tcW w:w="3495" w:type="dxa"/>
          </w:tcPr>
          <w:p w14:paraId="0C6A8408"/>
        </w:tc>
      </w:tr>
      <w:tr w14:paraId="49058D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021" w:type="dxa"/>
            <w:vAlign w:val="center"/>
          </w:tcPr>
          <w:p w14:paraId="2E494866">
            <w:pPr>
              <w:pStyle w:val="23"/>
              <w:keepNext w:val="0"/>
              <w:keepLines w:val="0"/>
              <w:pageBreakBefore w:val="0"/>
              <w:widowControl w:val="0"/>
              <w:kinsoku w:val="0"/>
              <w:wordWrap/>
              <w:overflowPunct/>
              <w:topLinePunct w:val="0"/>
              <w:autoSpaceDE w:val="0"/>
              <w:autoSpaceDN w:val="0"/>
              <w:bidi w:val="0"/>
              <w:adjustRightInd/>
              <w:snapToGrid/>
              <w:spacing w:line="240" w:lineRule="auto"/>
              <w:ind w:left="0"/>
              <w:jc w:val="center"/>
              <w:textAlignment w:val="baseline"/>
              <w:rPr>
                <w:rFonts w:hint="eastAsia"/>
                <w:sz w:val="18"/>
                <w:szCs w:val="18"/>
              </w:rPr>
            </w:pPr>
            <w:r>
              <w:rPr>
                <w:spacing w:val="4"/>
                <w:sz w:val="18"/>
                <w:szCs w:val="18"/>
              </w:rPr>
              <w:t>平整工程</w:t>
            </w:r>
          </w:p>
        </w:tc>
        <w:tc>
          <w:tcPr>
            <w:tcW w:w="2835" w:type="dxa"/>
          </w:tcPr>
          <w:p w14:paraId="4C6B493F">
            <w:r>
              <w:rPr>
                <w:rFonts w:hint="eastAsia" w:ascii="宋体" w:hAnsi="宋体" w:eastAsia="宋体" w:cs="宋体"/>
                <w:b/>
                <w:bCs/>
              </w:rPr>
              <w:drawing>
                <wp:anchor distT="0" distB="0" distL="0" distR="0" simplePos="0" relativeHeight="251665408" behindDoc="0" locked="0" layoutInCell="1" allowOverlap="1">
                  <wp:simplePos x="0" y="0"/>
                  <wp:positionH relativeFrom="column">
                    <wp:posOffset>635</wp:posOffset>
                  </wp:positionH>
                  <wp:positionV relativeFrom="paragraph">
                    <wp:posOffset>95885</wp:posOffset>
                  </wp:positionV>
                  <wp:extent cx="4041140" cy="76200"/>
                  <wp:effectExtent l="0" t="0" r="16510" b="0"/>
                  <wp:wrapNone/>
                  <wp:docPr id="2" name="IM 68"/>
                  <wp:cNvGraphicFramePr/>
                  <a:graphic xmlns:a="http://schemas.openxmlformats.org/drawingml/2006/main">
                    <a:graphicData uri="http://schemas.openxmlformats.org/drawingml/2006/picture">
                      <pic:pic xmlns:pic="http://schemas.openxmlformats.org/drawingml/2006/picture">
                        <pic:nvPicPr>
                          <pic:cNvPr id="2" name="IM 68"/>
                          <pic:cNvPicPr/>
                        </pic:nvPicPr>
                        <pic:blipFill>
                          <a:blip r:embed="rId23"/>
                          <a:stretch>
                            <a:fillRect/>
                          </a:stretch>
                        </pic:blipFill>
                        <pic:spPr>
                          <a:xfrm>
                            <a:off x="0" y="0"/>
                            <a:ext cx="4041140" cy="76200"/>
                          </a:xfrm>
                          <a:prstGeom prst="rect">
                            <a:avLst/>
                          </a:prstGeom>
                        </pic:spPr>
                      </pic:pic>
                    </a:graphicData>
                  </a:graphic>
                </wp:anchor>
              </w:drawing>
            </w:r>
          </w:p>
        </w:tc>
        <w:tc>
          <w:tcPr>
            <w:tcW w:w="3495" w:type="dxa"/>
          </w:tcPr>
          <w:p w14:paraId="4F567260"/>
        </w:tc>
      </w:tr>
      <w:tr w14:paraId="653D78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021" w:type="dxa"/>
            <w:vAlign w:val="center"/>
          </w:tcPr>
          <w:p w14:paraId="645C14AF">
            <w:pPr>
              <w:pStyle w:val="23"/>
              <w:keepNext w:val="0"/>
              <w:keepLines w:val="0"/>
              <w:pageBreakBefore w:val="0"/>
              <w:widowControl w:val="0"/>
              <w:kinsoku w:val="0"/>
              <w:wordWrap/>
              <w:overflowPunct/>
              <w:topLinePunct w:val="0"/>
              <w:autoSpaceDE w:val="0"/>
              <w:autoSpaceDN w:val="0"/>
              <w:bidi w:val="0"/>
              <w:adjustRightInd/>
              <w:snapToGrid/>
              <w:spacing w:line="240" w:lineRule="auto"/>
              <w:ind w:left="0"/>
              <w:jc w:val="center"/>
              <w:textAlignment w:val="baseline"/>
              <w:rPr>
                <w:rFonts w:hint="eastAsia"/>
                <w:sz w:val="18"/>
                <w:szCs w:val="18"/>
              </w:rPr>
            </w:pPr>
            <w:r>
              <w:rPr>
                <w:spacing w:val="5"/>
                <w:sz w:val="18"/>
                <w:szCs w:val="18"/>
              </w:rPr>
              <w:t>矿山监测</w:t>
            </w:r>
          </w:p>
        </w:tc>
        <w:tc>
          <w:tcPr>
            <w:tcW w:w="2835" w:type="dxa"/>
            <w:vAlign w:val="center"/>
          </w:tcPr>
          <w:p w14:paraId="3B9276CF">
            <w:pPr>
              <w:jc w:val="center"/>
            </w:pPr>
            <w:r>
              <w:rPr>
                <w:rFonts w:hint="eastAsia" w:ascii="宋体" w:hAnsi="宋体" w:eastAsia="宋体" w:cs="宋体"/>
                <w:b/>
                <w:bCs/>
              </w:rPr>
              <w:drawing>
                <wp:anchor distT="0" distB="0" distL="0" distR="0" simplePos="0" relativeHeight="251664384" behindDoc="0" locked="0" layoutInCell="1" allowOverlap="1">
                  <wp:simplePos x="0" y="0"/>
                  <wp:positionH relativeFrom="column">
                    <wp:posOffset>635</wp:posOffset>
                  </wp:positionH>
                  <wp:positionV relativeFrom="paragraph">
                    <wp:posOffset>41910</wp:posOffset>
                  </wp:positionV>
                  <wp:extent cx="4029075" cy="95250"/>
                  <wp:effectExtent l="0" t="0" r="9525" b="0"/>
                  <wp:wrapNone/>
                  <wp:docPr id="1" name="IM 66"/>
                  <wp:cNvGraphicFramePr/>
                  <a:graphic xmlns:a="http://schemas.openxmlformats.org/drawingml/2006/main">
                    <a:graphicData uri="http://schemas.openxmlformats.org/drawingml/2006/picture">
                      <pic:pic xmlns:pic="http://schemas.openxmlformats.org/drawingml/2006/picture">
                        <pic:nvPicPr>
                          <pic:cNvPr id="1" name="IM 66"/>
                          <pic:cNvPicPr/>
                        </pic:nvPicPr>
                        <pic:blipFill>
                          <a:blip r:embed="rId24"/>
                          <a:stretch>
                            <a:fillRect/>
                          </a:stretch>
                        </pic:blipFill>
                        <pic:spPr>
                          <a:xfrm>
                            <a:off x="0" y="0"/>
                            <a:ext cx="4029075" cy="95250"/>
                          </a:xfrm>
                          <a:prstGeom prst="rect">
                            <a:avLst/>
                          </a:prstGeom>
                        </pic:spPr>
                      </pic:pic>
                    </a:graphicData>
                  </a:graphic>
                </wp:anchor>
              </w:drawing>
            </w:r>
          </w:p>
        </w:tc>
        <w:tc>
          <w:tcPr>
            <w:tcW w:w="3495" w:type="dxa"/>
            <w:vAlign w:val="center"/>
          </w:tcPr>
          <w:p w14:paraId="0094D1AA">
            <w:pPr>
              <w:jc w:val="center"/>
            </w:pPr>
          </w:p>
        </w:tc>
      </w:tr>
      <w:bookmarkEnd w:id="178"/>
    </w:tbl>
    <w:p w14:paraId="0F79D1ED">
      <w:pPr>
        <w:rPr>
          <w:lang w:eastAsia="zh-CN"/>
        </w:rPr>
      </w:pPr>
    </w:p>
    <w:p w14:paraId="4F771BCE">
      <w:pPr>
        <w:rPr>
          <w:lang w:eastAsia="zh-CN"/>
        </w:rPr>
        <w:sectPr>
          <w:footerReference r:id="rId6" w:type="default"/>
          <w:pgSz w:w="11905" w:h="16839"/>
          <w:pgMar w:top="1440" w:right="1800" w:bottom="1440" w:left="1800" w:header="680" w:footer="850" w:gutter="0"/>
          <w:cols w:space="720" w:num="1"/>
        </w:sectPr>
      </w:pPr>
    </w:p>
    <w:p w14:paraId="27729C35">
      <w:pPr>
        <w:pStyle w:val="2"/>
        <w:keepNext w:val="0"/>
        <w:keepLines w:val="0"/>
        <w:widowControl w:val="0"/>
        <w:kinsoku/>
        <w:spacing w:before="0" w:after="0" w:line="360" w:lineRule="auto"/>
        <w:jc w:val="center"/>
        <w:rPr>
          <w:rFonts w:hint="eastAsia" w:ascii="黑体" w:hAnsi="黑体" w:eastAsia="黑体" w:cs="黑体"/>
          <w:b w:val="0"/>
          <w:bCs/>
          <w:sz w:val="32"/>
          <w:szCs w:val="32"/>
          <w:lang w:eastAsia="zh-CN"/>
        </w:rPr>
      </w:pPr>
      <w:bookmarkStart w:id="180" w:name="bookmark146"/>
      <w:bookmarkEnd w:id="180"/>
      <w:bookmarkStart w:id="181" w:name="bookmark147"/>
      <w:bookmarkEnd w:id="181"/>
      <w:bookmarkStart w:id="182" w:name="bookmark145"/>
      <w:bookmarkEnd w:id="182"/>
      <w:bookmarkStart w:id="183" w:name="bookmark144"/>
      <w:bookmarkEnd w:id="183"/>
      <w:bookmarkStart w:id="184" w:name="_Toc29074"/>
      <w:r>
        <w:rPr>
          <w:rFonts w:hint="eastAsia" w:ascii="黑体" w:hAnsi="黑体" w:eastAsia="黑体" w:cs="黑体"/>
          <w:b w:val="0"/>
          <w:bCs/>
          <w:sz w:val="32"/>
          <w:szCs w:val="32"/>
          <w:lang w:eastAsia="zh-CN"/>
        </w:rPr>
        <w:t>第四章  矿区生态修复措施与工程内容</w:t>
      </w:r>
      <w:bookmarkEnd w:id="184"/>
    </w:p>
    <w:p w14:paraId="72DF6615">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185" w:name="bookmark270"/>
      <w:bookmarkEnd w:id="185"/>
      <w:bookmarkStart w:id="186" w:name="_Toc13775"/>
      <w:r>
        <w:rPr>
          <w:rFonts w:hint="eastAsia" w:ascii="宋体" w:hAnsi="宋体" w:eastAsia="宋体" w:cs="宋体"/>
          <w:sz w:val="30"/>
          <w:szCs w:val="30"/>
          <w:lang w:eastAsia="zh-CN"/>
        </w:rPr>
        <w:t>一、生态保护与预防控制措施</w:t>
      </w:r>
      <w:bookmarkEnd w:id="186"/>
    </w:p>
    <w:p w14:paraId="7F5C22BE">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187" w:name="bookmark148"/>
      <w:bookmarkEnd w:id="187"/>
      <w:bookmarkStart w:id="188" w:name="bookmark149"/>
      <w:bookmarkEnd w:id="188"/>
      <w:bookmarkStart w:id="189" w:name="_Toc1981"/>
      <w:bookmarkStart w:id="190" w:name="_Toc24749"/>
      <w:r>
        <w:rPr>
          <w:rFonts w:hint="eastAsia" w:ascii="宋体" w:hAnsi="宋体" w:eastAsia="宋体" w:cs="宋体"/>
          <w:sz w:val="28"/>
          <w:szCs w:val="28"/>
          <w:lang w:eastAsia="zh-CN"/>
        </w:rPr>
        <w:t>（一）敏感目标保护</w:t>
      </w:r>
      <w:bookmarkEnd w:id="189"/>
      <w:bookmarkEnd w:id="190"/>
    </w:p>
    <w:p w14:paraId="0CADE19E">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经格尔木市自然资源和林业草原局核实，该矿区未涉及耕地、林地、草地。该矿区不在三区三线范围内，周边无需要保护的永久基本农田、基本草原、公益林、自然保护区、生态保护红线、珍贵物种、人文景观、文物、重要基础设施等敏感目标。</w:t>
      </w:r>
    </w:p>
    <w:p w14:paraId="05B510FE">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191" w:name="bookmark150"/>
      <w:bookmarkEnd w:id="191"/>
      <w:bookmarkStart w:id="192" w:name="bookmark151"/>
      <w:bookmarkEnd w:id="192"/>
      <w:bookmarkStart w:id="193" w:name="_Toc29566"/>
      <w:bookmarkStart w:id="194" w:name="_Toc22790"/>
      <w:r>
        <w:rPr>
          <w:rFonts w:hint="eastAsia" w:ascii="宋体" w:hAnsi="宋体" w:eastAsia="宋体" w:cs="宋体"/>
          <w:sz w:val="28"/>
          <w:szCs w:val="28"/>
          <w:lang w:eastAsia="zh-CN"/>
        </w:rPr>
        <w:t>（二）表土剥离利用</w:t>
      </w:r>
      <w:bookmarkEnd w:id="193"/>
      <w:bookmarkEnd w:id="194"/>
    </w:p>
    <w:p w14:paraId="0E59824B">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该矿山为由上到下分层开采，本矿剥离物主要为风成沙，矿山周边有合适范围堆存剥离物，矿区生态修复过程中无可用的剥离土供给格尔木市城镇绿化服务中心使用。</w:t>
      </w:r>
    </w:p>
    <w:p w14:paraId="1AE83C8F">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195" w:name="bookmark152"/>
      <w:bookmarkEnd w:id="195"/>
      <w:bookmarkStart w:id="196" w:name="bookmark153"/>
      <w:bookmarkEnd w:id="196"/>
      <w:bookmarkStart w:id="197" w:name="_Toc18351"/>
      <w:bookmarkStart w:id="198" w:name="_Toc9745"/>
      <w:r>
        <w:rPr>
          <w:rFonts w:hint="eastAsia" w:ascii="宋体" w:hAnsi="宋体" w:eastAsia="宋体" w:cs="宋体"/>
          <w:sz w:val="28"/>
          <w:szCs w:val="28"/>
          <w:lang w:eastAsia="zh-CN"/>
        </w:rPr>
        <w:t>（三）相关协同措施</w:t>
      </w:r>
      <w:bookmarkEnd w:id="197"/>
      <w:bookmarkEnd w:id="198"/>
    </w:p>
    <w:p w14:paraId="5A67EE19">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1、地质灾害防治与地形重塑</w:t>
      </w:r>
    </w:p>
    <w:p w14:paraId="60261F1B">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根据《开采方案》，采矿边坡平均高度为</w:t>
      </w:r>
      <w:r>
        <w:rPr>
          <w:rFonts w:hint="eastAsia" w:ascii="宋体" w:hAnsi="宋体" w:eastAsia="宋体" w:cs="宋体"/>
          <w:sz w:val="28"/>
          <w:szCs w:val="28"/>
          <w:lang w:val="en-US" w:eastAsia="zh-CN"/>
        </w:rPr>
        <w:t>4m，坡度</w:t>
      </w:r>
      <w:r>
        <w:rPr>
          <w:rFonts w:hint="eastAsia" w:ascii="宋体" w:hAnsi="宋体" w:eastAsia="宋体" w:cs="宋体"/>
          <w:sz w:val="28"/>
          <w:szCs w:val="28"/>
          <w:lang w:eastAsia="zh-CN"/>
        </w:rPr>
        <w:t>不大于</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5°，边坡整体处于稳定状态，由于矿面存在</w:t>
      </w:r>
      <w:r>
        <w:rPr>
          <w:rFonts w:hint="eastAsia" w:ascii="宋体" w:hAnsi="宋体" w:cs="宋体"/>
          <w:sz w:val="28"/>
          <w:szCs w:val="28"/>
          <w:lang w:eastAsia="zh-CN"/>
        </w:rPr>
        <w:t>风尘沙及坡积物</w:t>
      </w:r>
      <w:r>
        <w:rPr>
          <w:rFonts w:hint="eastAsia" w:ascii="宋体" w:hAnsi="宋体" w:eastAsia="宋体" w:cs="宋体"/>
          <w:sz w:val="28"/>
          <w:szCs w:val="28"/>
          <w:lang w:eastAsia="zh-CN"/>
        </w:rPr>
        <w:t>，稳固性较差，有可能引发局部不稳定斜坡地质灾害，直接威胁采场作业人员和机械设备。但可能引发的不稳定斜坡的规模小，采场内生产人员和机械设备较少，威胁人数小于10人，故发生地质灾害的可能性小，危害程度小，危险性中等。开采过程中及时清理</w:t>
      </w:r>
      <w:r>
        <w:rPr>
          <w:rFonts w:hint="eastAsia" w:ascii="宋体" w:hAnsi="宋体" w:cs="宋体"/>
          <w:sz w:val="28"/>
          <w:szCs w:val="28"/>
          <w:lang w:eastAsia="zh-CN"/>
        </w:rPr>
        <w:t>风尘沙和坡积物</w:t>
      </w:r>
      <w:r>
        <w:rPr>
          <w:rFonts w:hint="eastAsia" w:ascii="宋体" w:hAnsi="宋体" w:eastAsia="宋体" w:cs="宋体"/>
          <w:sz w:val="28"/>
          <w:szCs w:val="28"/>
          <w:lang w:eastAsia="zh-CN"/>
        </w:rPr>
        <w:t>，可以预防不稳定斜坡地质灾害的发生。</w:t>
      </w:r>
    </w:p>
    <w:p w14:paraId="31842979">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地形重塑与排水疏导：重塑受损地形，对边坡实施清理、反压、压实等措施，并设计地表径流导排系统（如排水沟、截水渠），避免积水侵蚀。</w:t>
      </w:r>
    </w:p>
    <w:p w14:paraId="3637D88E">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2、水土流失综合控制</w:t>
      </w:r>
    </w:p>
    <w:p w14:paraId="177B920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根据“边开采，边修复”的原则，对采矿活动形成的裸露地表及时进行生态修复。</w:t>
      </w:r>
    </w:p>
    <w:p w14:paraId="7A9D2912">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3、环境污染系统治理</w:t>
      </w:r>
    </w:p>
    <w:p w14:paraId="7A3D8947">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本矿山开采主要的环境污染为大气扬尘污染和噪声污染。扬尘污染发生在破碎、筛分、运输等环节，通过洒水可降低扬尘污染。噪声污染与扬尘污染产生的途径基本一致，通过合理布置生活区、设置声屏障、做好个人防护等措施可将噪声对人的危害降至最低。</w:t>
      </w:r>
    </w:p>
    <w:p w14:paraId="25C85ECF">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采场内设置沉淀池，大气降水经沉淀池沉淀泥沙后排入天然水体。</w:t>
      </w:r>
    </w:p>
    <w:p w14:paraId="12E9E1FA">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4、固体废物资源化利用与安全处置</w:t>
      </w:r>
    </w:p>
    <w:p w14:paraId="318EDED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矿区采矿过程中，产生的主要废弃物有：废渣、生产、生活废水及生活垃圾。</w:t>
      </w:r>
    </w:p>
    <w:p w14:paraId="51074EE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⑴废渣</w:t>
      </w:r>
    </w:p>
    <w:p w14:paraId="206A85E7">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本矿开采过程中产生的剥离土量较少，可用于修路、填方和平整场地及生态修复等。</w:t>
      </w:r>
    </w:p>
    <w:p w14:paraId="319FB92C">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⑵生产、生活废水</w:t>
      </w:r>
    </w:p>
    <w:p w14:paraId="578FA70C">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本项目产生的废水主要为生活用水。</w:t>
      </w:r>
    </w:p>
    <w:p w14:paraId="3D085DF0">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生活废水指矿山食堂、办公区、浴室排出的无害少量污水，对生活废水排放至沉淀池经过沉淀处理后可用于降尘。</w:t>
      </w:r>
    </w:p>
    <w:p w14:paraId="05088D38">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⑶生活垃圾</w:t>
      </w:r>
    </w:p>
    <w:p w14:paraId="341E465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由生产人员生活中产生的有机废物及燃煤锅炉产生的灰渣两部分组成，预估年产生40m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，该类废弃物会对生态环境产生一定影响，需就近外运至格尔木市垃圾场做填埋处理。</w:t>
      </w:r>
    </w:p>
    <w:p w14:paraId="087CEC12">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5、生态修复预防措施</w:t>
      </w:r>
    </w:p>
    <w:p w14:paraId="3B792310">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按照“统一规划、源头控制、防复结合”的总原则，在矿山开采规划建设与生产过程中可以采取一些合理措施，以减小和控制破坏土地面积和程度、降低矿山地质灾害发生的可能，为生态修复创造良好条件。根据行业特点，结合本工程实际，建设与生产中可采取如下措施控制和预防土地破坏。</w:t>
      </w:r>
    </w:p>
    <w:p w14:paraId="31430351">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⑴合理规划生产布局，减少破坏范围。建设和生产过程中应加强规划和施工管理，尽量缩小对土地的影响范围，各种生产建设活动应严格控制在规划区域内，将临时占地面积控制在最低限度内，尽可能地避免造成土壤大面积破坏，而使本来就脆弱的生态系统受到威胁。矿石的运输及利用，应尽量减少原地表植被的破坏，各种运输车辆规定固定路线，道路规划布置应因地制宜、尽量减少压占土地。生产过程中产生的生产、生活垃圾严禁乱堆、乱扔，应规划设置指定的处理地点，以免占用土地，污染环境。</w:t>
      </w:r>
    </w:p>
    <w:p w14:paraId="72E3007B">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⑵各施工场所尽量减少施工占地，减小地表土地占地面积。各施工区域、临时占地区域挖方首先用于回填，对于挖方不能立即回填的，其堆放场所要做好临时防护措施。</w:t>
      </w:r>
    </w:p>
    <w:p w14:paraId="09966885">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⑶露天开采生产中，对破碎地带应加强防护措施，预留稳定的边坡，避免不稳定斜坡、泥石流等地质灾害发生，严禁弃土弃渣乱堆乱放，尤其是边坡顶部垮塌影响范围内严禁堆土。同时，应在场地周边修建临时措施，减少施工灰尘造成的环境污染。</w:t>
      </w:r>
    </w:p>
    <w:p w14:paraId="6A347747">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⑷开采工作应严格按照有关规范、规程和《开采方案》进行，减轻地质灾害的发生率。</w:t>
      </w:r>
    </w:p>
    <w:p w14:paraId="79D0CB2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6、已修复区域长效管护机制</w:t>
      </w:r>
    </w:p>
    <w:p w14:paraId="5A0DF094">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监测预警：建立土壤质量、水体水质、边坡稳定性的监测网络（参照GB/T43933要求），运用遥感与GIS技术进行动态评估。</w:t>
      </w:r>
    </w:p>
    <w:p w14:paraId="63D3492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适应性管理：根据监测数据及时调整管护策略，如设施维护、排水沟清淤等。</w:t>
      </w:r>
    </w:p>
    <w:p w14:paraId="3BA9A8B8">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199" w:name="bookmark156"/>
      <w:bookmarkEnd w:id="199"/>
      <w:bookmarkStart w:id="200" w:name="bookmark155"/>
      <w:bookmarkEnd w:id="200"/>
      <w:bookmarkStart w:id="201" w:name="bookmark154"/>
      <w:bookmarkEnd w:id="201"/>
      <w:bookmarkStart w:id="202" w:name="bookmark157"/>
      <w:bookmarkEnd w:id="202"/>
      <w:bookmarkStart w:id="203" w:name="_Toc31197"/>
      <w:r>
        <w:rPr>
          <w:rFonts w:hint="eastAsia" w:ascii="宋体" w:hAnsi="宋体" w:eastAsia="宋体" w:cs="宋体"/>
          <w:sz w:val="30"/>
          <w:szCs w:val="30"/>
          <w:lang w:eastAsia="zh-CN"/>
        </w:rPr>
        <w:t>二、生态修复措施</w:t>
      </w:r>
      <w:bookmarkEnd w:id="203"/>
    </w:p>
    <w:p w14:paraId="76BA6EFC">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04" w:name="bookmark271"/>
      <w:bookmarkEnd w:id="204"/>
      <w:bookmarkStart w:id="205" w:name="_Toc30523"/>
      <w:bookmarkStart w:id="206" w:name="_Toc30236"/>
      <w:r>
        <w:rPr>
          <w:rFonts w:hint="eastAsia" w:ascii="宋体" w:hAnsi="宋体" w:eastAsia="宋体" w:cs="宋体"/>
          <w:sz w:val="28"/>
          <w:szCs w:val="28"/>
          <w:lang w:eastAsia="zh-CN"/>
        </w:rPr>
        <w:t>（一）地貌重塑</w:t>
      </w:r>
      <w:bookmarkEnd w:id="205"/>
      <w:bookmarkEnd w:id="206"/>
    </w:p>
    <w:p w14:paraId="6940B913">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根据《矿山地质环境保护与恢复治理方案编制规范》（DZ/T0223-2011），结合本矿山环境地质问题、现状调查结果以及对地质环境问题发生发展的预测评估结果，认为本矿山需治理工程主要为边坡风成沙及坡积物清理工程、采矿场地各平台及采坑底部平整工程、工业场地拆除工程及平整工程、矿山道路平整工程、截排水工程。</w:t>
      </w:r>
    </w:p>
    <w:p w14:paraId="7308EDBC">
      <w:pPr>
        <w:widowControl w:val="0"/>
        <w:kinsoku/>
        <w:adjustRightInd/>
        <w:snapToGrid/>
        <w:spacing w:line="360" w:lineRule="auto"/>
        <w:ind w:firstLine="560" w:firstLineChars="200"/>
        <w:jc w:val="both"/>
        <w:rPr>
          <w:rFonts w:hint="eastAsia" w:ascii="宋体" w:hAnsi="宋体" w:eastAsia="宋体" w:cs="宋体"/>
          <w:sz w:val="28"/>
          <w:szCs w:val="28"/>
        </w:rPr>
      </w:pPr>
      <w:r>
        <w:rPr>
          <w:rFonts w:hint="eastAsia" w:ascii="宋体" w:hAnsi="宋体" w:eastAsia="宋体" w:cs="宋体"/>
          <w:sz w:val="28"/>
          <w:szCs w:val="28"/>
        </w:rPr>
        <w:t>1、坡面</w:t>
      </w:r>
      <w:r>
        <w:rPr>
          <w:rFonts w:hint="eastAsia" w:ascii="宋体" w:hAnsi="宋体" w:eastAsia="宋体" w:cs="宋体"/>
          <w:sz w:val="28"/>
          <w:szCs w:val="28"/>
          <w:lang w:eastAsia="zh-CN"/>
        </w:rPr>
        <w:t>风成沙及坡积物</w:t>
      </w:r>
      <w:r>
        <w:rPr>
          <w:rFonts w:hint="eastAsia" w:ascii="宋体" w:hAnsi="宋体" w:eastAsia="宋体" w:cs="宋体"/>
          <w:sz w:val="28"/>
          <w:szCs w:val="28"/>
        </w:rPr>
        <w:t>清理工程</w:t>
      </w:r>
    </w:p>
    <w:p w14:paraId="213B5C5A">
      <w:pPr>
        <w:widowControl w:val="0"/>
        <w:numPr>
          <w:ilvl w:val="0"/>
          <w:numId w:val="0"/>
        </w:numPr>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预测最终矿山采场台阶坡面边坡角为</w:t>
      </w:r>
      <w:r>
        <w:rPr>
          <w:rFonts w:hint="eastAsia" w:ascii="宋体" w:hAnsi="宋体" w:eastAsia="宋体" w:cs="宋体"/>
          <w:sz w:val="28"/>
          <w:szCs w:val="28"/>
          <w:lang w:val="en-US" w:eastAsia="zh-CN"/>
        </w:rPr>
        <w:t>45</w:t>
      </w:r>
      <w:r>
        <w:rPr>
          <w:rFonts w:hint="eastAsia" w:ascii="宋体" w:hAnsi="宋体" w:eastAsia="宋体" w:cs="宋体"/>
          <w:sz w:val="28"/>
          <w:szCs w:val="28"/>
          <w:lang w:eastAsia="zh-CN"/>
        </w:rPr>
        <w:t>°,坡面长度利用CADArea工具实际量得，则各台阶实际坡面为台阶坡面长度×台阶实际宽度。对坡面风成沙及坡积物进行清理，清理厚度约0.2m，产生方量</w:t>
      </w:r>
      <w:r>
        <w:rPr>
          <w:rFonts w:hint="eastAsia" w:ascii="宋体" w:hAnsi="宋体" w:eastAsia="宋体" w:cs="宋体"/>
          <w:sz w:val="28"/>
          <w:szCs w:val="28"/>
          <w:lang w:val="en-US" w:eastAsia="zh-CN"/>
        </w:rPr>
        <w:t>6465.8</w:t>
      </w:r>
      <w:r>
        <w:rPr>
          <w:rFonts w:hint="eastAsia" w:ascii="宋体" w:hAnsi="宋体" w:eastAsia="宋体" w:cs="宋体"/>
          <w:sz w:val="28"/>
          <w:szCs w:val="28"/>
          <w:lang w:eastAsia="zh-CN"/>
        </w:rPr>
        <w:t>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，产生的风成沙及坡积物综合利用。</w:t>
      </w:r>
    </w:p>
    <w:p w14:paraId="599C2E8A">
      <w:pPr>
        <w:widowControl w:val="0"/>
        <w:numPr>
          <w:ilvl w:val="0"/>
          <w:numId w:val="2"/>
        </w:numPr>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砖混拆除工程</w:t>
      </w:r>
    </w:p>
    <w:p w14:paraId="57B244A4">
      <w:pPr>
        <w:widowControl w:val="0"/>
        <w:kinsoku/>
        <w:adjustRightInd/>
        <w:snapToGrid/>
        <w:spacing w:line="360" w:lineRule="auto"/>
        <w:ind w:firstLine="560" w:firstLineChars="200"/>
        <w:jc w:val="both"/>
        <w:rPr>
          <w:rFonts w:ascii="宋体" w:hAnsi="宋体" w:cs="宋体"/>
          <w:sz w:val="28"/>
          <w:szCs w:val="28"/>
          <w:lang w:eastAsia="zh-CN"/>
        </w:rPr>
      </w:pPr>
      <w:r>
        <w:rPr>
          <w:rFonts w:hint="eastAsia" w:ascii="宋体" w:hAnsi="宋体" w:eastAsia="宋体" w:cs="宋体"/>
          <w:sz w:val="28"/>
          <w:szCs w:val="28"/>
          <w:lang w:eastAsia="zh-CN"/>
        </w:rPr>
        <w:t>采矿工程结束后，对工业场地围墙及基础设施砖混结构进行拆除工程，</w:t>
      </w:r>
      <w:r>
        <w:rPr>
          <w:rFonts w:hint="eastAsia" w:ascii="宋体" w:hAnsi="宋体" w:cs="宋体"/>
          <w:sz w:val="28"/>
          <w:szCs w:val="28"/>
          <w:lang w:eastAsia="zh-CN"/>
        </w:rPr>
        <w:t>长度共</w:t>
      </w:r>
      <w:r>
        <w:rPr>
          <w:rFonts w:hint="eastAsia" w:ascii="宋体" w:hAnsi="宋体" w:eastAsia="宋体" w:cs="宋体"/>
          <w:sz w:val="28"/>
          <w:szCs w:val="28"/>
          <w:lang w:eastAsia="zh-CN"/>
        </w:rPr>
        <w:t>计</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660.0m，围墙高1.8m，厚0.24m。围墙拆除共产生建筑垃圾</w:t>
      </w:r>
      <w:r>
        <w:rPr>
          <w:rFonts w:hint="eastAsia" w:ascii="宋体" w:hAnsi="宋体" w:eastAsia="宋体" w:cs="宋体"/>
          <w:sz w:val="28"/>
          <w:szCs w:val="28"/>
          <w:lang w:val="en-US" w:eastAsia="zh-CN"/>
        </w:rPr>
        <w:t>717</w:t>
      </w:r>
      <w:r>
        <w:rPr>
          <w:rFonts w:hint="eastAsia" w:ascii="宋体" w:hAnsi="宋体" w:eastAsia="宋体" w:cs="宋体"/>
          <w:sz w:val="28"/>
          <w:szCs w:val="28"/>
          <w:lang w:eastAsia="zh-CN"/>
        </w:rPr>
        <w:t>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，建筑垃圾拉运至附近</w:t>
      </w:r>
      <w:r>
        <w:rPr>
          <w:rFonts w:hint="eastAsia" w:ascii="宋体" w:hAnsi="宋体" w:eastAsia="宋体" w:cs="宋体"/>
          <w:sz w:val="28"/>
          <w:szCs w:val="28"/>
          <w:lang w:val="en-US" w:eastAsia="zh-CN"/>
        </w:rPr>
        <w:t>垃圾</w:t>
      </w:r>
      <w:r>
        <w:rPr>
          <w:rFonts w:hint="eastAsia" w:ascii="宋体" w:hAnsi="宋体" w:eastAsia="宋体" w:cs="宋体"/>
          <w:sz w:val="28"/>
          <w:szCs w:val="28"/>
          <w:lang w:eastAsia="zh-CN"/>
        </w:rPr>
        <w:t>填埋场。</w:t>
      </w:r>
      <w:r>
        <w:rPr>
          <w:rFonts w:hint="eastAsia" w:ascii="宋体" w:hAnsi="宋体" w:eastAsia="宋体" w:cs="宋体"/>
          <w:sz w:val="28"/>
          <w:szCs w:val="28"/>
          <w:lang w:val="en-US" w:eastAsia="zh-CN"/>
        </w:rPr>
        <w:t>运距为17km。</w:t>
      </w:r>
    </w:p>
    <w:p w14:paraId="6D001F9E">
      <w:pPr>
        <w:widowControl w:val="0"/>
        <w:numPr>
          <w:ilvl w:val="0"/>
          <w:numId w:val="2"/>
        </w:numPr>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彩钢拆除工程</w:t>
      </w:r>
    </w:p>
    <w:p w14:paraId="38C9DAA6">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采矿工程结束后，对工业场地及生活区彩钢房</w:t>
      </w:r>
      <w:r>
        <w:rPr>
          <w:rFonts w:ascii="宋体" w:hAnsi="宋体" w:cs="宋体"/>
          <w:sz w:val="28"/>
          <w:szCs w:val="28"/>
          <w:lang w:eastAsia="zh-CN"/>
        </w:rPr>
        <w:t>彩钢房拆除可回收进行二次利用，</w:t>
      </w:r>
      <w:r>
        <w:rPr>
          <w:rFonts w:hint="eastAsia" w:ascii="宋体" w:hAnsi="宋体" w:cs="宋体"/>
          <w:sz w:val="28"/>
          <w:szCs w:val="28"/>
          <w:lang w:eastAsia="zh-CN"/>
        </w:rPr>
        <w:t>共计拆除彩钢</w:t>
      </w:r>
      <w:r>
        <w:rPr>
          <w:rFonts w:ascii="宋体" w:hAnsi="宋体" w:cs="宋体"/>
          <w:sz w:val="28"/>
          <w:szCs w:val="28"/>
          <w:lang w:eastAsia="zh-CN"/>
        </w:rPr>
        <w:t>155</w:t>
      </w:r>
      <w:r>
        <w:rPr>
          <w:rFonts w:hint="eastAsia" w:ascii="宋体" w:hAnsi="宋体" w:cs="宋体"/>
          <w:sz w:val="28"/>
          <w:szCs w:val="28"/>
          <w:lang w:val="en-US" w:eastAsia="zh-CN"/>
        </w:rPr>
        <w:t>5</w:t>
      </w:r>
      <w:r>
        <w:rPr>
          <w:rFonts w:ascii="宋体" w:hAnsi="宋体" w:cs="宋体"/>
          <w:sz w:val="28"/>
          <w:szCs w:val="28"/>
          <w:lang w:eastAsia="zh-CN"/>
        </w:rPr>
        <w:t>.0</w:t>
      </w:r>
      <w:r>
        <w:rPr>
          <w:rFonts w:hint="eastAsia" w:ascii="宋体" w:hAnsi="宋体" w:cs="宋体"/>
          <w:sz w:val="28"/>
          <w:szCs w:val="28"/>
          <w:lang w:eastAsia="zh-CN"/>
        </w:rPr>
        <w:t>m</w:t>
      </w:r>
      <w:r>
        <w:rPr>
          <w:rFonts w:ascii="宋体" w:hAnsi="宋体" w:cs="宋体"/>
          <w:sz w:val="28"/>
          <w:szCs w:val="28"/>
          <w:vertAlign w:val="superscript"/>
          <w:lang w:eastAsia="zh-CN"/>
        </w:rPr>
        <w:t>2</w:t>
      </w:r>
      <w:r>
        <w:rPr>
          <w:rFonts w:hint="eastAsia" w:ascii="宋体" w:hAnsi="宋体" w:eastAsia="宋体" w:cs="宋体"/>
          <w:sz w:val="28"/>
          <w:szCs w:val="28"/>
          <w:lang w:eastAsia="zh-CN"/>
        </w:rPr>
        <w:t>。</w:t>
      </w:r>
    </w:p>
    <w:p w14:paraId="32D5DBA9">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4、硬化拆除工程</w:t>
      </w:r>
    </w:p>
    <w:p w14:paraId="5158B590">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采矿工程结束后，对工业场地进行硬化拆除工程，拆除厚度为0.1m，拆除面积为</w:t>
      </w:r>
      <w:r>
        <w:rPr>
          <w:rFonts w:hint="eastAsia" w:ascii="宋体" w:hAnsi="宋体" w:eastAsia="宋体" w:cs="宋体"/>
          <w:sz w:val="28"/>
          <w:szCs w:val="28"/>
          <w:lang w:val="en-US" w:eastAsia="zh-CN"/>
        </w:rPr>
        <w:t>0.257</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，则硬化拆除工程量为</w:t>
      </w:r>
      <w:r>
        <w:rPr>
          <w:rFonts w:hint="eastAsia" w:ascii="宋体" w:hAnsi="宋体" w:eastAsia="宋体" w:cs="宋体"/>
          <w:sz w:val="28"/>
          <w:szCs w:val="28"/>
          <w:lang w:val="en-US" w:eastAsia="zh-CN"/>
        </w:rPr>
        <w:t>257</w:t>
      </w:r>
      <w:r>
        <w:rPr>
          <w:rFonts w:hint="eastAsia" w:ascii="宋体" w:hAnsi="宋体" w:eastAsia="宋体" w:cs="宋体"/>
          <w:sz w:val="28"/>
          <w:szCs w:val="28"/>
          <w:lang w:eastAsia="zh-CN"/>
        </w:rPr>
        <w:t>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w:t>
      </w:r>
    </w:p>
    <w:p w14:paraId="533A46FA">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5、平整工程</w:t>
      </w:r>
    </w:p>
    <w:p w14:paraId="7DC1D3B6">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根据“边开采边修复”的原则，对采矿场地、工业场地、成品堆料区、生活区及矿山道路进行平整，平整面积</w:t>
      </w:r>
      <w:r>
        <w:rPr>
          <w:rFonts w:hint="eastAsia" w:ascii="宋体" w:hAnsi="宋体" w:eastAsia="宋体" w:cs="宋体"/>
          <w:sz w:val="28"/>
          <w:szCs w:val="28"/>
          <w:lang w:val="en-US" w:eastAsia="zh-CN"/>
        </w:rPr>
        <w:t>59.85</w:t>
      </w:r>
      <w:r>
        <w:rPr>
          <w:rFonts w:hint="eastAsia" w:ascii="宋体" w:hAnsi="宋体" w:eastAsia="宋体" w:cs="宋体"/>
          <w:sz w:val="28"/>
          <w:szCs w:val="28"/>
          <w:lang w:eastAsia="zh-CN"/>
        </w:rPr>
        <w:t>hm</w:t>
      </w:r>
      <w:r>
        <w:rPr>
          <w:rFonts w:hint="eastAsia" w:ascii="宋体" w:hAnsi="宋体" w:eastAsia="宋体" w:cs="宋体"/>
          <w:sz w:val="28"/>
          <w:szCs w:val="28"/>
          <w:vertAlign w:val="superscript"/>
          <w:lang w:eastAsia="zh-CN"/>
        </w:rPr>
        <w:t>2</w:t>
      </w:r>
      <w:r>
        <w:rPr>
          <w:rFonts w:hint="eastAsia" w:ascii="宋体" w:hAnsi="宋体" w:eastAsia="宋体" w:cs="宋体"/>
          <w:sz w:val="28"/>
          <w:szCs w:val="28"/>
          <w:lang w:eastAsia="zh-CN"/>
        </w:rPr>
        <w:t>，平整厚度</w:t>
      </w:r>
      <w:bookmarkStart w:id="207" w:name="_Hlk215923391"/>
      <w:r>
        <w:rPr>
          <w:rFonts w:hint="eastAsia" w:ascii="宋体" w:hAnsi="宋体" w:eastAsia="宋体" w:cs="宋体"/>
          <w:sz w:val="28"/>
          <w:szCs w:val="28"/>
          <w:lang w:val="en-US" w:eastAsia="zh-CN"/>
        </w:rPr>
        <w:t>0.2</w:t>
      </w:r>
      <w:r>
        <w:rPr>
          <w:rFonts w:hint="eastAsia" w:ascii="宋体" w:hAnsi="宋体" w:eastAsia="宋体" w:cs="宋体"/>
          <w:sz w:val="28"/>
          <w:szCs w:val="28"/>
          <w:lang w:eastAsia="zh-CN"/>
        </w:rPr>
        <w:t>m</w:t>
      </w:r>
      <w:bookmarkEnd w:id="207"/>
      <w:r>
        <w:rPr>
          <w:rFonts w:hint="eastAsia" w:ascii="宋体" w:hAnsi="宋体" w:eastAsia="宋体" w:cs="宋体"/>
          <w:color w:val="EE0000"/>
          <w:sz w:val="28"/>
          <w:szCs w:val="28"/>
          <w:lang w:eastAsia="zh-CN"/>
        </w:rPr>
        <w:t>，</w:t>
      </w:r>
      <w:r>
        <w:rPr>
          <w:rFonts w:hint="eastAsia" w:ascii="宋体" w:hAnsi="宋体" w:eastAsia="宋体" w:cs="宋体"/>
          <w:sz w:val="28"/>
          <w:szCs w:val="28"/>
          <w:lang w:eastAsia="zh-CN"/>
        </w:rPr>
        <w:t>则平整工程量为</w:t>
      </w:r>
      <w:r>
        <w:rPr>
          <w:rFonts w:hint="eastAsia" w:ascii="宋体" w:hAnsi="宋体" w:eastAsia="宋体" w:cs="宋体"/>
          <w:sz w:val="28"/>
          <w:szCs w:val="28"/>
          <w:lang w:val="en-US" w:eastAsia="zh-CN"/>
        </w:rPr>
        <w:t>119700</w:t>
      </w:r>
      <w:r>
        <w:rPr>
          <w:rFonts w:hint="eastAsia" w:ascii="宋体" w:hAnsi="宋体" w:eastAsia="宋体" w:cs="宋体"/>
          <w:sz w:val="28"/>
          <w:szCs w:val="28"/>
          <w:lang w:eastAsia="zh-CN"/>
        </w:rPr>
        <w:t>m</w:t>
      </w:r>
      <w:r>
        <w:rPr>
          <w:rFonts w:hint="eastAsia" w:ascii="宋体" w:hAnsi="宋体" w:eastAsia="宋体" w:cs="宋体"/>
          <w:sz w:val="28"/>
          <w:szCs w:val="28"/>
          <w:vertAlign w:val="superscript"/>
          <w:lang w:eastAsia="zh-CN"/>
        </w:rPr>
        <w:t>3</w:t>
      </w:r>
      <w:r>
        <w:rPr>
          <w:rFonts w:hint="eastAsia" w:ascii="宋体" w:hAnsi="宋体" w:eastAsia="宋体" w:cs="宋体"/>
          <w:sz w:val="28"/>
          <w:szCs w:val="28"/>
          <w:lang w:eastAsia="zh-CN"/>
        </w:rPr>
        <w:t>。</w:t>
      </w:r>
    </w:p>
    <w:p w14:paraId="0FE3E6BB">
      <w:pPr>
        <w:spacing w:before="3" w:line="227" w:lineRule="auto"/>
        <w:jc w:val="center"/>
        <w:rPr>
          <w:rFonts w:hint="eastAsia" w:ascii="宋体" w:hAnsi="宋体" w:eastAsia="宋体" w:cs="宋体"/>
          <w:b/>
          <w:bCs/>
          <w:spacing w:val="6"/>
          <w:sz w:val="21"/>
          <w:szCs w:val="21"/>
          <w:lang w:eastAsia="zh-CN"/>
        </w:rPr>
      </w:pPr>
      <w:bookmarkStart w:id="208" w:name="bookmark273"/>
      <w:bookmarkEnd w:id="208"/>
      <w:r>
        <w:rPr>
          <w:rFonts w:hint="eastAsia" w:ascii="宋体" w:hAnsi="宋体" w:eastAsia="宋体" w:cs="宋体"/>
          <w:b/>
          <w:bCs/>
          <w:spacing w:val="6"/>
          <w:sz w:val="21"/>
          <w:szCs w:val="21"/>
          <w:lang w:eastAsia="zh-CN"/>
        </w:rPr>
        <w:t>表4-2  矿区各修复单元平整工程量统计表</w:t>
      </w:r>
    </w:p>
    <w:tbl>
      <w:tblPr>
        <w:tblStyle w:val="22"/>
        <w:tblW w:w="810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94"/>
        <w:gridCol w:w="1666"/>
        <w:gridCol w:w="1539"/>
        <w:gridCol w:w="2401"/>
      </w:tblGrid>
      <w:tr w14:paraId="38DCB9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494" w:type="dxa"/>
            <w:vAlign w:val="center"/>
          </w:tcPr>
          <w:p w14:paraId="35173FEB">
            <w:pPr>
              <w:pStyle w:val="23"/>
              <w:widowControl w:val="0"/>
              <w:kinsoku/>
              <w:adjustRightInd/>
              <w:snapToGrid/>
              <w:jc w:val="center"/>
              <w:rPr>
                <w:rFonts w:hint="eastAsia"/>
                <w:spacing w:val="-1"/>
                <w:sz w:val="21"/>
                <w:szCs w:val="21"/>
              </w:rPr>
            </w:pPr>
            <w:r>
              <w:rPr>
                <w:rFonts w:hint="eastAsia"/>
                <w:spacing w:val="-1"/>
                <w:sz w:val="21"/>
                <w:szCs w:val="21"/>
                <w:lang w:eastAsia="zh-CN"/>
              </w:rPr>
              <w:t>修复</w:t>
            </w:r>
            <w:r>
              <w:rPr>
                <w:spacing w:val="-1"/>
                <w:sz w:val="21"/>
                <w:szCs w:val="21"/>
              </w:rPr>
              <w:t>单元名称</w:t>
            </w:r>
          </w:p>
        </w:tc>
        <w:tc>
          <w:tcPr>
            <w:tcW w:w="1666" w:type="dxa"/>
            <w:vAlign w:val="center"/>
          </w:tcPr>
          <w:p w14:paraId="57FBE5BF">
            <w:pPr>
              <w:pStyle w:val="23"/>
              <w:widowControl w:val="0"/>
              <w:kinsoku/>
              <w:adjustRightInd/>
              <w:snapToGrid/>
              <w:jc w:val="center"/>
              <w:rPr>
                <w:rFonts w:hint="eastAsia"/>
                <w:spacing w:val="-1"/>
                <w:sz w:val="21"/>
                <w:szCs w:val="21"/>
              </w:rPr>
            </w:pPr>
            <w:r>
              <w:rPr>
                <w:spacing w:val="-1"/>
                <w:sz w:val="21"/>
                <w:szCs w:val="21"/>
              </w:rPr>
              <w:t>面积（hm</w:t>
            </w:r>
            <w:r>
              <w:rPr>
                <w:rFonts w:hint="eastAsia"/>
                <w:spacing w:val="-1"/>
                <w:sz w:val="21"/>
                <w:szCs w:val="21"/>
                <w:vertAlign w:val="superscript"/>
                <w:lang w:eastAsia="zh-CN"/>
              </w:rPr>
              <w:t>2</w:t>
            </w:r>
            <w:r>
              <w:rPr>
                <w:spacing w:val="-1"/>
                <w:sz w:val="21"/>
                <w:szCs w:val="21"/>
              </w:rPr>
              <w:t>）</w:t>
            </w:r>
          </w:p>
        </w:tc>
        <w:tc>
          <w:tcPr>
            <w:tcW w:w="1539" w:type="dxa"/>
            <w:vAlign w:val="center"/>
          </w:tcPr>
          <w:p w14:paraId="75A9C63F">
            <w:pPr>
              <w:pStyle w:val="23"/>
              <w:widowControl w:val="0"/>
              <w:kinsoku/>
              <w:adjustRightInd/>
              <w:snapToGrid/>
              <w:jc w:val="center"/>
              <w:rPr>
                <w:rFonts w:hint="eastAsia"/>
                <w:spacing w:val="-1"/>
                <w:sz w:val="21"/>
                <w:szCs w:val="21"/>
              </w:rPr>
            </w:pPr>
            <w:r>
              <w:rPr>
                <w:spacing w:val="-1"/>
                <w:sz w:val="21"/>
                <w:szCs w:val="21"/>
              </w:rPr>
              <w:t>平整厚度（m）</w:t>
            </w:r>
          </w:p>
        </w:tc>
        <w:tc>
          <w:tcPr>
            <w:tcW w:w="2401" w:type="dxa"/>
            <w:vAlign w:val="center"/>
          </w:tcPr>
          <w:p w14:paraId="0D275461">
            <w:pPr>
              <w:pStyle w:val="23"/>
              <w:widowControl w:val="0"/>
              <w:kinsoku/>
              <w:adjustRightInd/>
              <w:snapToGrid/>
              <w:jc w:val="center"/>
              <w:rPr>
                <w:rFonts w:hint="eastAsia"/>
                <w:spacing w:val="-1"/>
                <w:sz w:val="21"/>
                <w:szCs w:val="21"/>
              </w:rPr>
            </w:pPr>
            <w:r>
              <w:rPr>
                <w:spacing w:val="-1"/>
                <w:sz w:val="21"/>
                <w:szCs w:val="21"/>
              </w:rPr>
              <w:t>工程量（m</w:t>
            </w:r>
            <w:r>
              <w:rPr>
                <w:rFonts w:hint="eastAsia"/>
                <w:spacing w:val="-1"/>
                <w:sz w:val="21"/>
                <w:szCs w:val="21"/>
                <w:vertAlign w:val="superscript"/>
                <w:lang w:eastAsia="zh-CN"/>
              </w:rPr>
              <w:t>3</w:t>
            </w:r>
            <w:r>
              <w:rPr>
                <w:spacing w:val="-1"/>
                <w:sz w:val="21"/>
                <w:szCs w:val="21"/>
              </w:rPr>
              <w:t>）</w:t>
            </w:r>
          </w:p>
        </w:tc>
      </w:tr>
      <w:tr w14:paraId="6C49AB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494" w:type="dxa"/>
            <w:vAlign w:val="center"/>
          </w:tcPr>
          <w:p w14:paraId="06C60A92">
            <w:pPr>
              <w:pStyle w:val="23"/>
              <w:widowControl w:val="0"/>
              <w:kinsoku/>
              <w:adjustRightInd/>
              <w:snapToGrid/>
              <w:jc w:val="center"/>
              <w:rPr>
                <w:rFonts w:hint="eastAsia"/>
                <w:spacing w:val="-1"/>
                <w:sz w:val="21"/>
                <w:szCs w:val="21"/>
              </w:rPr>
            </w:pPr>
            <w:r>
              <w:rPr>
                <w:spacing w:val="-1"/>
                <w:sz w:val="21"/>
                <w:szCs w:val="21"/>
              </w:rPr>
              <w:t>F1（</w:t>
            </w:r>
            <w:r>
              <w:rPr>
                <w:rFonts w:hint="eastAsia"/>
                <w:spacing w:val="-1"/>
                <w:sz w:val="21"/>
                <w:szCs w:val="21"/>
                <w:lang w:eastAsia="zh-CN"/>
              </w:rPr>
              <w:t>采矿场地</w:t>
            </w:r>
            <w:r>
              <w:rPr>
                <w:spacing w:val="-1"/>
                <w:sz w:val="21"/>
                <w:szCs w:val="21"/>
              </w:rPr>
              <w:t>）</w:t>
            </w:r>
          </w:p>
        </w:tc>
        <w:tc>
          <w:tcPr>
            <w:tcW w:w="1666" w:type="dxa"/>
            <w:vAlign w:val="center"/>
          </w:tcPr>
          <w:p w14:paraId="7690420D">
            <w:pPr>
              <w:pStyle w:val="23"/>
              <w:widowControl w:val="0"/>
              <w:kinsoku/>
              <w:adjustRightInd/>
              <w:snapToGrid/>
              <w:jc w:val="center"/>
              <w:rPr>
                <w:rFonts w:hint="default"/>
                <w:spacing w:val="-1"/>
                <w:sz w:val="21"/>
                <w:szCs w:val="21"/>
                <w:lang w:val="en-US" w:eastAsia="zh-CN"/>
              </w:rPr>
            </w:pPr>
            <w:r>
              <w:rPr>
                <w:rFonts w:hint="eastAsia"/>
                <w:spacing w:val="-1"/>
                <w:sz w:val="21"/>
                <w:szCs w:val="21"/>
                <w:lang w:val="en-US" w:eastAsia="zh-CN"/>
              </w:rPr>
              <w:t>55.38</w:t>
            </w:r>
          </w:p>
        </w:tc>
        <w:tc>
          <w:tcPr>
            <w:tcW w:w="1539" w:type="dxa"/>
            <w:vAlign w:val="center"/>
          </w:tcPr>
          <w:p w14:paraId="1742E3B6">
            <w:pPr>
              <w:pStyle w:val="23"/>
              <w:widowControl w:val="0"/>
              <w:kinsoku/>
              <w:adjustRightInd/>
              <w:snapToGrid/>
              <w:jc w:val="center"/>
              <w:rPr>
                <w:rFonts w:hint="default" w:eastAsia="宋体"/>
                <w:spacing w:val="-1"/>
                <w:sz w:val="21"/>
                <w:szCs w:val="21"/>
                <w:lang w:val="en-US" w:eastAsia="zh-CN"/>
              </w:rPr>
            </w:pPr>
            <w:r>
              <w:rPr>
                <w:rFonts w:hint="eastAsia"/>
                <w:spacing w:val="-1"/>
                <w:sz w:val="21"/>
                <w:szCs w:val="21"/>
                <w:lang w:val="en-US" w:eastAsia="zh-CN"/>
              </w:rPr>
              <w:t>0.2</w:t>
            </w:r>
          </w:p>
        </w:tc>
        <w:tc>
          <w:tcPr>
            <w:tcW w:w="2401" w:type="dxa"/>
            <w:vAlign w:val="center"/>
          </w:tcPr>
          <w:p w14:paraId="7C2681AC">
            <w:pPr>
              <w:pStyle w:val="23"/>
              <w:widowControl w:val="0"/>
              <w:kinsoku/>
              <w:adjustRightInd/>
              <w:snapToGrid/>
              <w:jc w:val="center"/>
              <w:rPr>
                <w:rFonts w:hint="default"/>
                <w:spacing w:val="-1"/>
                <w:sz w:val="21"/>
                <w:szCs w:val="21"/>
                <w:lang w:val="en-US" w:eastAsia="zh-CN"/>
              </w:rPr>
            </w:pPr>
            <w:r>
              <w:rPr>
                <w:rFonts w:hint="eastAsia"/>
                <w:spacing w:val="-1"/>
                <w:sz w:val="21"/>
                <w:szCs w:val="21"/>
                <w:lang w:val="en-US" w:eastAsia="zh-CN"/>
              </w:rPr>
              <w:t>110760</w:t>
            </w:r>
          </w:p>
        </w:tc>
      </w:tr>
      <w:tr w14:paraId="5510A9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494" w:type="dxa"/>
            <w:vAlign w:val="center"/>
          </w:tcPr>
          <w:p w14:paraId="61417B70">
            <w:pPr>
              <w:pStyle w:val="23"/>
              <w:widowControl w:val="0"/>
              <w:kinsoku/>
              <w:adjustRightInd/>
              <w:snapToGrid/>
              <w:jc w:val="center"/>
              <w:rPr>
                <w:rFonts w:hint="eastAsia"/>
                <w:spacing w:val="-1"/>
                <w:sz w:val="21"/>
                <w:szCs w:val="21"/>
              </w:rPr>
            </w:pPr>
            <w:r>
              <w:rPr>
                <w:spacing w:val="-1"/>
                <w:sz w:val="21"/>
                <w:szCs w:val="21"/>
              </w:rPr>
              <w:t>F2（</w:t>
            </w:r>
            <w:r>
              <w:rPr>
                <w:rFonts w:hint="eastAsia"/>
                <w:spacing w:val="-1"/>
                <w:sz w:val="21"/>
                <w:szCs w:val="21"/>
                <w:lang w:eastAsia="zh-CN"/>
              </w:rPr>
              <w:t>工业场地</w:t>
            </w:r>
            <w:r>
              <w:rPr>
                <w:spacing w:val="-1"/>
                <w:sz w:val="21"/>
                <w:szCs w:val="21"/>
              </w:rPr>
              <w:t>）</w:t>
            </w:r>
          </w:p>
        </w:tc>
        <w:tc>
          <w:tcPr>
            <w:tcW w:w="1666" w:type="dxa"/>
            <w:vAlign w:val="center"/>
          </w:tcPr>
          <w:p w14:paraId="28295C9E">
            <w:pPr>
              <w:pStyle w:val="23"/>
              <w:widowControl w:val="0"/>
              <w:kinsoku/>
              <w:adjustRightInd/>
              <w:snapToGrid/>
              <w:jc w:val="center"/>
              <w:rPr>
                <w:rFonts w:hint="default"/>
                <w:spacing w:val="-1"/>
                <w:sz w:val="21"/>
                <w:szCs w:val="21"/>
                <w:lang w:val="en-US" w:eastAsia="zh-CN"/>
              </w:rPr>
            </w:pPr>
            <w:r>
              <w:rPr>
                <w:rFonts w:hint="eastAsia"/>
                <w:spacing w:val="-1"/>
                <w:sz w:val="21"/>
                <w:szCs w:val="21"/>
                <w:lang w:val="en-US" w:eastAsia="zh-CN"/>
              </w:rPr>
              <w:t>4.23</w:t>
            </w:r>
          </w:p>
        </w:tc>
        <w:tc>
          <w:tcPr>
            <w:tcW w:w="1539" w:type="dxa"/>
            <w:vAlign w:val="center"/>
          </w:tcPr>
          <w:p w14:paraId="55D2E693">
            <w:pPr>
              <w:pStyle w:val="23"/>
              <w:widowControl w:val="0"/>
              <w:kinsoku/>
              <w:adjustRightInd/>
              <w:snapToGrid/>
              <w:jc w:val="center"/>
              <w:rPr>
                <w:rFonts w:hint="default"/>
                <w:spacing w:val="-1"/>
                <w:sz w:val="21"/>
                <w:szCs w:val="21"/>
                <w:lang w:val="en-US" w:eastAsia="zh-CN"/>
              </w:rPr>
            </w:pPr>
            <w:r>
              <w:rPr>
                <w:rFonts w:hint="eastAsia"/>
                <w:spacing w:val="-1"/>
                <w:sz w:val="21"/>
                <w:szCs w:val="21"/>
                <w:lang w:val="en-US" w:eastAsia="zh-CN"/>
              </w:rPr>
              <w:t>0.2</w:t>
            </w:r>
          </w:p>
        </w:tc>
        <w:tc>
          <w:tcPr>
            <w:tcW w:w="2401" w:type="dxa"/>
            <w:vAlign w:val="center"/>
          </w:tcPr>
          <w:p w14:paraId="16E472B1">
            <w:pPr>
              <w:pStyle w:val="23"/>
              <w:widowControl w:val="0"/>
              <w:kinsoku/>
              <w:adjustRightInd/>
              <w:snapToGrid/>
              <w:jc w:val="center"/>
              <w:rPr>
                <w:rFonts w:hint="default"/>
                <w:spacing w:val="-1"/>
                <w:sz w:val="21"/>
                <w:szCs w:val="21"/>
                <w:lang w:val="en-US" w:eastAsia="zh-CN"/>
              </w:rPr>
            </w:pPr>
            <w:r>
              <w:rPr>
                <w:rFonts w:hint="eastAsia"/>
                <w:spacing w:val="-1"/>
                <w:sz w:val="21"/>
                <w:szCs w:val="21"/>
                <w:lang w:val="en-US" w:eastAsia="zh-CN"/>
              </w:rPr>
              <w:t>8460</w:t>
            </w:r>
          </w:p>
        </w:tc>
      </w:tr>
      <w:tr w14:paraId="67446F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494" w:type="dxa"/>
            <w:vAlign w:val="center"/>
          </w:tcPr>
          <w:p w14:paraId="2F93F1E6">
            <w:pPr>
              <w:pStyle w:val="23"/>
              <w:widowControl w:val="0"/>
              <w:kinsoku/>
              <w:adjustRightInd/>
              <w:snapToGrid/>
              <w:jc w:val="center"/>
              <w:rPr>
                <w:spacing w:val="-1"/>
                <w:sz w:val="21"/>
                <w:szCs w:val="21"/>
              </w:rPr>
            </w:pPr>
            <w:r>
              <w:rPr>
                <w:rFonts w:hint="eastAsia"/>
                <w:spacing w:val="-1"/>
                <w:sz w:val="21"/>
                <w:szCs w:val="21"/>
                <w:lang w:eastAsia="zh-CN"/>
              </w:rPr>
              <w:t>F</w:t>
            </w:r>
            <w:r>
              <w:rPr>
                <w:rFonts w:hint="eastAsia"/>
                <w:spacing w:val="-1"/>
                <w:sz w:val="21"/>
                <w:szCs w:val="21"/>
                <w:lang w:val="en-US" w:eastAsia="zh-CN"/>
              </w:rPr>
              <w:t>3</w:t>
            </w:r>
            <w:r>
              <w:rPr>
                <w:rFonts w:hint="eastAsia"/>
                <w:spacing w:val="-1"/>
                <w:sz w:val="21"/>
                <w:szCs w:val="21"/>
                <w:lang w:eastAsia="zh-CN"/>
              </w:rPr>
              <w:t>（矿山道路）</w:t>
            </w:r>
          </w:p>
        </w:tc>
        <w:tc>
          <w:tcPr>
            <w:tcW w:w="1666" w:type="dxa"/>
            <w:vAlign w:val="center"/>
          </w:tcPr>
          <w:p w14:paraId="3383363E">
            <w:pPr>
              <w:pStyle w:val="23"/>
              <w:widowControl w:val="0"/>
              <w:kinsoku/>
              <w:adjustRightInd/>
              <w:snapToGrid/>
              <w:jc w:val="center"/>
              <w:rPr>
                <w:rFonts w:hint="default"/>
                <w:spacing w:val="-1"/>
                <w:sz w:val="21"/>
                <w:szCs w:val="21"/>
                <w:lang w:val="en-US" w:eastAsia="zh-CN"/>
              </w:rPr>
            </w:pPr>
            <w:r>
              <w:rPr>
                <w:rFonts w:hint="eastAsia"/>
                <w:spacing w:val="-1"/>
                <w:sz w:val="21"/>
                <w:szCs w:val="21"/>
                <w:lang w:val="en-US" w:eastAsia="zh-CN"/>
              </w:rPr>
              <w:t>0.24</w:t>
            </w:r>
          </w:p>
        </w:tc>
        <w:tc>
          <w:tcPr>
            <w:tcW w:w="1539" w:type="dxa"/>
            <w:vAlign w:val="center"/>
          </w:tcPr>
          <w:p w14:paraId="7CE8F82F">
            <w:pPr>
              <w:pStyle w:val="23"/>
              <w:widowControl w:val="0"/>
              <w:kinsoku/>
              <w:adjustRightInd/>
              <w:snapToGrid/>
              <w:jc w:val="center"/>
              <w:rPr>
                <w:rFonts w:hint="default"/>
                <w:spacing w:val="-1"/>
                <w:sz w:val="21"/>
                <w:szCs w:val="21"/>
                <w:lang w:val="en-US" w:eastAsia="zh-CN"/>
              </w:rPr>
            </w:pPr>
            <w:r>
              <w:rPr>
                <w:rFonts w:hint="eastAsia"/>
                <w:spacing w:val="-1"/>
                <w:sz w:val="21"/>
                <w:szCs w:val="21"/>
                <w:lang w:val="en-US" w:eastAsia="zh-CN"/>
              </w:rPr>
              <w:t>0.2</w:t>
            </w:r>
          </w:p>
        </w:tc>
        <w:tc>
          <w:tcPr>
            <w:tcW w:w="2401" w:type="dxa"/>
            <w:vAlign w:val="center"/>
          </w:tcPr>
          <w:p w14:paraId="4F204E05">
            <w:pPr>
              <w:pStyle w:val="23"/>
              <w:widowControl w:val="0"/>
              <w:kinsoku/>
              <w:adjustRightInd/>
              <w:snapToGrid/>
              <w:jc w:val="center"/>
              <w:rPr>
                <w:rFonts w:hint="default"/>
                <w:spacing w:val="-1"/>
                <w:sz w:val="21"/>
                <w:szCs w:val="21"/>
                <w:lang w:val="en-US" w:eastAsia="zh-CN"/>
              </w:rPr>
            </w:pPr>
            <w:r>
              <w:rPr>
                <w:rFonts w:hint="eastAsia"/>
                <w:spacing w:val="-1"/>
                <w:sz w:val="21"/>
                <w:szCs w:val="21"/>
                <w:lang w:val="en-US" w:eastAsia="zh-CN"/>
              </w:rPr>
              <w:t>480</w:t>
            </w:r>
          </w:p>
        </w:tc>
      </w:tr>
      <w:tr w14:paraId="7B2323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2494" w:type="dxa"/>
            <w:vAlign w:val="center"/>
          </w:tcPr>
          <w:p w14:paraId="1E23BCCB">
            <w:pPr>
              <w:pStyle w:val="23"/>
              <w:widowControl w:val="0"/>
              <w:kinsoku/>
              <w:adjustRightInd/>
              <w:snapToGrid/>
              <w:jc w:val="center"/>
              <w:rPr>
                <w:rFonts w:hint="eastAsia"/>
                <w:spacing w:val="-1"/>
                <w:sz w:val="21"/>
                <w:szCs w:val="21"/>
              </w:rPr>
            </w:pPr>
            <w:r>
              <w:rPr>
                <w:spacing w:val="-1"/>
                <w:sz w:val="21"/>
                <w:szCs w:val="21"/>
              </w:rPr>
              <w:t>合计</w:t>
            </w:r>
          </w:p>
        </w:tc>
        <w:tc>
          <w:tcPr>
            <w:tcW w:w="1666" w:type="dxa"/>
            <w:vAlign w:val="center"/>
          </w:tcPr>
          <w:p w14:paraId="5C0E8598">
            <w:pPr>
              <w:pStyle w:val="23"/>
              <w:widowControl w:val="0"/>
              <w:kinsoku/>
              <w:adjustRightInd/>
              <w:snapToGrid/>
              <w:jc w:val="center"/>
              <w:rPr>
                <w:rFonts w:hint="default"/>
                <w:spacing w:val="-1"/>
                <w:sz w:val="21"/>
                <w:szCs w:val="21"/>
                <w:lang w:val="en-US" w:eastAsia="zh-CN"/>
              </w:rPr>
            </w:pPr>
            <w:r>
              <w:rPr>
                <w:rFonts w:hint="eastAsia"/>
                <w:spacing w:val="-1"/>
                <w:sz w:val="21"/>
                <w:szCs w:val="21"/>
                <w:lang w:val="en-US" w:eastAsia="zh-CN"/>
              </w:rPr>
              <w:t>59.85</w:t>
            </w:r>
          </w:p>
        </w:tc>
        <w:tc>
          <w:tcPr>
            <w:tcW w:w="1539" w:type="dxa"/>
            <w:vAlign w:val="center"/>
          </w:tcPr>
          <w:p w14:paraId="34280DDB">
            <w:pPr>
              <w:pStyle w:val="23"/>
              <w:widowControl w:val="0"/>
              <w:kinsoku/>
              <w:adjustRightInd/>
              <w:snapToGrid/>
              <w:jc w:val="center"/>
              <w:rPr>
                <w:rFonts w:hint="eastAsia"/>
                <w:spacing w:val="-1"/>
                <w:sz w:val="21"/>
                <w:szCs w:val="21"/>
              </w:rPr>
            </w:pPr>
          </w:p>
        </w:tc>
        <w:tc>
          <w:tcPr>
            <w:tcW w:w="2401" w:type="dxa"/>
            <w:vAlign w:val="center"/>
          </w:tcPr>
          <w:p w14:paraId="7FA86B23">
            <w:pPr>
              <w:pStyle w:val="23"/>
              <w:widowControl w:val="0"/>
              <w:kinsoku/>
              <w:adjustRightInd/>
              <w:snapToGrid/>
              <w:jc w:val="center"/>
              <w:rPr>
                <w:rFonts w:hint="default" w:eastAsia="宋体"/>
                <w:spacing w:val="-1"/>
                <w:sz w:val="21"/>
                <w:szCs w:val="21"/>
                <w:lang w:val="en-US" w:eastAsia="zh-CN"/>
              </w:rPr>
            </w:pPr>
            <w:r>
              <w:rPr>
                <w:rFonts w:hint="eastAsia"/>
                <w:spacing w:val="-1"/>
                <w:sz w:val="21"/>
                <w:szCs w:val="21"/>
                <w:lang w:val="en-US" w:eastAsia="zh-CN"/>
              </w:rPr>
              <w:t>119700</w:t>
            </w:r>
          </w:p>
        </w:tc>
      </w:tr>
    </w:tbl>
    <w:p w14:paraId="0E05E91F">
      <w:pPr>
        <w:widowControl w:val="0"/>
        <w:kinsoku/>
        <w:adjustRightInd/>
        <w:snapToGrid/>
        <w:spacing w:line="360" w:lineRule="auto"/>
        <w:ind w:firstLine="560" w:firstLineChars="200"/>
        <w:jc w:val="both"/>
        <w:rPr>
          <w:rFonts w:hint="eastAsia" w:ascii="宋体" w:hAnsi="宋体" w:eastAsia="宋体" w:cs="宋体"/>
          <w:sz w:val="28"/>
          <w:szCs w:val="28"/>
        </w:rPr>
      </w:pPr>
      <w:r>
        <w:rPr>
          <w:rFonts w:hint="eastAsia" w:ascii="宋体" w:hAnsi="宋体" w:eastAsia="宋体" w:cs="宋体"/>
          <w:sz w:val="28"/>
          <w:szCs w:val="28"/>
          <w:lang w:eastAsia="zh-CN"/>
        </w:rPr>
        <w:t>6</w:t>
      </w:r>
      <w:r>
        <w:rPr>
          <w:rFonts w:hint="eastAsia" w:ascii="宋体" w:hAnsi="宋体" w:eastAsia="宋体" w:cs="宋体"/>
          <w:sz w:val="28"/>
          <w:szCs w:val="28"/>
        </w:rPr>
        <w:t>、截</w:t>
      </w:r>
      <w:r>
        <w:rPr>
          <w:rFonts w:hint="eastAsia" w:ascii="宋体" w:hAnsi="宋体" w:eastAsia="宋体" w:cs="宋体"/>
          <w:sz w:val="28"/>
          <w:szCs w:val="28"/>
          <w:lang w:eastAsia="zh-CN"/>
        </w:rPr>
        <w:t>排</w:t>
      </w:r>
      <w:r>
        <w:rPr>
          <w:rFonts w:hint="eastAsia" w:ascii="宋体" w:hAnsi="宋体" w:eastAsia="宋体" w:cs="宋体"/>
          <w:sz w:val="28"/>
          <w:szCs w:val="28"/>
        </w:rPr>
        <w:t>水沟工程</w:t>
      </w:r>
    </w:p>
    <w:p w14:paraId="13CD13EB">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为防止雨季极端天气，由于大气降雨引起山洪或汇水流入采场，影响矿区安全生产，设计在圈定的开采境界外部5m，依据地形设置截水沟，水沟长度</w:t>
      </w:r>
      <w:r>
        <w:rPr>
          <w:rFonts w:hint="eastAsia" w:ascii="宋体" w:hAnsi="宋体" w:eastAsia="宋体" w:cs="宋体"/>
          <w:sz w:val="28"/>
          <w:szCs w:val="28"/>
          <w:lang w:val="en-US" w:eastAsia="zh-CN"/>
        </w:rPr>
        <w:t>1420.8</w:t>
      </w:r>
      <w:r>
        <w:rPr>
          <w:rFonts w:hint="eastAsia" w:ascii="宋体" w:hAnsi="宋体" w:eastAsia="宋体" w:cs="宋体"/>
          <w:sz w:val="28"/>
          <w:szCs w:val="28"/>
          <w:lang w:eastAsia="zh-CN"/>
        </w:rPr>
        <w:t>m、水沟断面为倒梯形，顶宽</w:t>
      </w:r>
      <w:r>
        <w:rPr>
          <w:rFonts w:hint="eastAsia" w:ascii="宋体" w:hAnsi="宋体" w:eastAsia="宋体" w:cs="宋体"/>
          <w:sz w:val="28"/>
          <w:szCs w:val="28"/>
          <w:lang w:val="en-US" w:eastAsia="zh-CN"/>
        </w:rPr>
        <w:t>0.6</w:t>
      </w:r>
      <w:r>
        <w:rPr>
          <w:rFonts w:hint="eastAsia" w:ascii="宋体" w:hAnsi="宋体" w:eastAsia="宋体" w:cs="宋体"/>
          <w:sz w:val="28"/>
          <w:szCs w:val="28"/>
          <w:lang w:eastAsia="zh-CN"/>
        </w:rPr>
        <w:t>m、底宽</w:t>
      </w:r>
      <w:r>
        <w:rPr>
          <w:rFonts w:hint="eastAsia" w:ascii="宋体" w:hAnsi="宋体" w:eastAsia="宋体" w:cs="宋体"/>
          <w:sz w:val="28"/>
          <w:szCs w:val="28"/>
          <w:lang w:val="en-US" w:eastAsia="zh-CN"/>
        </w:rPr>
        <w:t>0.4</w:t>
      </w:r>
      <w:r>
        <w:rPr>
          <w:rFonts w:hint="eastAsia" w:ascii="宋体" w:hAnsi="宋体" w:eastAsia="宋体" w:cs="宋体"/>
          <w:sz w:val="28"/>
          <w:szCs w:val="28"/>
          <w:lang w:eastAsia="zh-CN"/>
        </w:rPr>
        <w:t>m、深</w:t>
      </w:r>
      <w:r>
        <w:rPr>
          <w:rFonts w:hint="eastAsia" w:ascii="宋体" w:hAnsi="宋体" w:eastAsia="宋体" w:cs="宋体"/>
          <w:sz w:val="28"/>
          <w:szCs w:val="28"/>
          <w:lang w:val="en-US" w:eastAsia="zh-CN"/>
        </w:rPr>
        <w:t>0.4</w:t>
      </w:r>
      <w:r>
        <w:rPr>
          <w:rFonts w:hint="eastAsia" w:ascii="宋体" w:hAnsi="宋体" w:eastAsia="宋体" w:cs="宋体"/>
          <w:sz w:val="28"/>
          <w:szCs w:val="28"/>
          <w:lang w:eastAsia="zh-CN"/>
        </w:rPr>
        <w:t>m。采场周围的雨水通过截水沟自然排泄至场外。</w:t>
      </w:r>
    </w:p>
    <w:p w14:paraId="3B89BEE8">
      <w:pPr>
        <w:widowControl w:val="0"/>
        <w:kinsoku/>
        <w:adjustRightInd/>
        <w:snapToGrid/>
        <w:spacing w:line="360" w:lineRule="auto"/>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矿山工业场地利用原矿山已有工程设施，原矿山基础排水设施完善，矿业权人在雨季来临前及时疏通排水沟即可满足排水需求。该费用已纳入基建成本，本方案不再计算。</w:t>
      </w:r>
    </w:p>
    <w:p w14:paraId="2728AE2D">
      <w:pPr>
        <w:spacing w:before="184" w:line="221" w:lineRule="auto"/>
        <w:ind w:left="202"/>
        <w:rPr>
          <w:rFonts w:hint="eastAsia" w:ascii="宋体" w:hAnsi="宋体" w:eastAsia="宋体" w:cs="宋体"/>
          <w:sz w:val="28"/>
          <w:szCs w:val="28"/>
          <w:lang w:eastAsia="zh-CN"/>
        </w:rPr>
      </w:pPr>
      <w:r>
        <w:rPr>
          <w:rFonts w:ascii="宋体" w:hAnsi="宋体" w:eastAsia="宋体" w:cs="宋体"/>
          <w:b/>
          <w:bCs/>
          <w:spacing w:val="-4"/>
          <w:sz w:val="28"/>
          <w:szCs w:val="28"/>
          <w:lang w:eastAsia="zh-CN"/>
        </w:rPr>
        <w:t>三、主要工程量</w:t>
      </w:r>
    </w:p>
    <w:p w14:paraId="5EAEBC94">
      <w:pPr>
        <w:spacing w:before="211" w:line="219" w:lineRule="auto"/>
        <w:ind w:left="218"/>
        <w:rPr>
          <w:rFonts w:hint="eastAsia" w:ascii="宋体" w:hAnsi="宋体" w:eastAsia="宋体" w:cs="宋体"/>
          <w:sz w:val="28"/>
          <w:szCs w:val="28"/>
          <w:lang w:eastAsia="zh-CN"/>
        </w:rPr>
      </w:pPr>
      <w:r>
        <w:rPr>
          <w:rFonts w:ascii="宋体" w:hAnsi="宋体" w:eastAsia="宋体" w:cs="宋体"/>
          <w:spacing w:val="-1"/>
          <w:sz w:val="28"/>
          <w:szCs w:val="28"/>
          <w:lang w:eastAsia="zh-CN"/>
        </w:rPr>
        <w:t>矿区地貌重塑主要工程量见表</w:t>
      </w:r>
      <w:r>
        <w:rPr>
          <w:rFonts w:hint="eastAsia" w:ascii="宋体" w:hAnsi="宋体" w:eastAsia="宋体" w:cs="宋体"/>
          <w:spacing w:val="-1"/>
          <w:sz w:val="28"/>
          <w:szCs w:val="28"/>
          <w:lang w:eastAsia="zh-CN"/>
        </w:rPr>
        <w:t>4</w:t>
      </w:r>
      <w:r>
        <w:rPr>
          <w:rFonts w:ascii="宋体" w:hAnsi="宋体" w:eastAsia="宋体" w:cs="宋体"/>
          <w:spacing w:val="-1"/>
          <w:sz w:val="28"/>
          <w:szCs w:val="28"/>
          <w:lang w:eastAsia="zh-CN"/>
        </w:rPr>
        <w:t>-3：</w:t>
      </w:r>
    </w:p>
    <w:p w14:paraId="70855780">
      <w:pPr>
        <w:spacing w:before="3" w:line="227" w:lineRule="auto"/>
        <w:jc w:val="center"/>
        <w:rPr>
          <w:rFonts w:hint="eastAsia" w:ascii="宋体" w:hAnsi="宋体" w:eastAsia="宋体" w:cs="宋体"/>
          <w:b/>
          <w:bCs/>
          <w:spacing w:val="6"/>
          <w:sz w:val="21"/>
          <w:szCs w:val="21"/>
          <w:lang w:eastAsia="zh-CN"/>
        </w:rPr>
      </w:pPr>
      <w:bookmarkStart w:id="209" w:name="bookmark274"/>
      <w:bookmarkEnd w:id="209"/>
      <w:r>
        <w:rPr>
          <w:rFonts w:hint="eastAsia" w:ascii="宋体" w:hAnsi="宋体" w:eastAsia="宋体" w:cs="宋体"/>
          <w:b/>
          <w:bCs/>
          <w:spacing w:val="6"/>
          <w:sz w:val="21"/>
          <w:szCs w:val="21"/>
          <w:lang w:eastAsia="zh-CN"/>
        </w:rPr>
        <w:t>表4-3  地貌重塑工程量一览表</w:t>
      </w:r>
    </w:p>
    <w:tbl>
      <w:tblPr>
        <w:tblStyle w:val="22"/>
        <w:tblW w:w="8340"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80"/>
        <w:gridCol w:w="1581"/>
        <w:gridCol w:w="4080"/>
        <w:gridCol w:w="1099"/>
      </w:tblGrid>
      <w:tr w14:paraId="1FE98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61" w:type="dxa"/>
            <w:gridSpan w:val="2"/>
            <w:vAlign w:val="center"/>
          </w:tcPr>
          <w:p w14:paraId="467AAC41">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工程名称</w:t>
            </w:r>
          </w:p>
        </w:tc>
        <w:tc>
          <w:tcPr>
            <w:tcW w:w="4080" w:type="dxa"/>
            <w:vAlign w:val="center"/>
          </w:tcPr>
          <w:p w14:paraId="6B2F2309">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工程方案</w:t>
            </w:r>
          </w:p>
        </w:tc>
        <w:tc>
          <w:tcPr>
            <w:tcW w:w="1099" w:type="dxa"/>
            <w:vAlign w:val="center"/>
          </w:tcPr>
          <w:p w14:paraId="0A5FFFEB">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3"/>
                <w:sz w:val="21"/>
                <w:szCs w:val="21"/>
              </w:rPr>
              <w:t>工程量</w:t>
            </w:r>
          </w:p>
        </w:tc>
      </w:tr>
      <w:tr w14:paraId="07569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580" w:type="dxa"/>
            <w:vAlign w:val="center"/>
          </w:tcPr>
          <w:p w14:paraId="5BEE26C8">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7"/>
                <w:sz w:val="21"/>
                <w:szCs w:val="21"/>
              </w:rPr>
              <w:t>坡面清理工程</w:t>
            </w:r>
          </w:p>
        </w:tc>
        <w:tc>
          <w:tcPr>
            <w:tcW w:w="1581" w:type="dxa"/>
            <w:vAlign w:val="center"/>
          </w:tcPr>
          <w:p w14:paraId="5A52ACEF">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4"/>
                <w:sz w:val="21"/>
                <w:szCs w:val="21"/>
                <w:lang w:eastAsia="zh-CN"/>
              </w:rPr>
              <w:t>风成沙及坡积物</w:t>
            </w:r>
          </w:p>
        </w:tc>
        <w:tc>
          <w:tcPr>
            <w:tcW w:w="4080" w:type="dxa"/>
            <w:vAlign w:val="center"/>
          </w:tcPr>
          <w:p w14:paraId="30C12457">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lang w:eastAsia="zh-CN"/>
              </w:rPr>
            </w:pPr>
            <w:r>
              <w:rPr>
                <w:rFonts w:hint="eastAsia" w:ascii="宋体" w:hAnsi="宋体" w:eastAsia="宋体" w:cs="宋体"/>
                <w:spacing w:val="9"/>
                <w:sz w:val="21"/>
                <w:szCs w:val="21"/>
                <w:lang w:eastAsia="zh-CN"/>
              </w:rPr>
              <w:t>利用机械从边坡顶部向坡脚自上而下清理</w:t>
            </w:r>
          </w:p>
        </w:tc>
        <w:tc>
          <w:tcPr>
            <w:tcW w:w="1099" w:type="dxa"/>
            <w:vAlign w:val="center"/>
          </w:tcPr>
          <w:p w14:paraId="7C9BFD6F">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lang w:val="en-US" w:eastAsia="zh-CN"/>
              </w:rPr>
            </w:pPr>
            <w:r>
              <w:rPr>
                <w:rFonts w:hint="eastAsia" w:ascii="宋体" w:hAnsi="宋体" w:eastAsia="宋体" w:cs="宋体"/>
                <w:spacing w:val="3"/>
                <w:sz w:val="21"/>
                <w:szCs w:val="21"/>
                <w:lang w:val="en-US" w:eastAsia="zh-CN"/>
              </w:rPr>
              <w:t>6465.8</w:t>
            </w:r>
            <w:r>
              <w:rPr>
                <w:rFonts w:hint="eastAsia" w:ascii="宋体" w:hAnsi="宋体" w:eastAsia="宋体" w:cs="宋体"/>
                <w:spacing w:val="3"/>
                <w:sz w:val="21"/>
                <w:szCs w:val="21"/>
              </w:rPr>
              <w:t>m</w:t>
            </w:r>
            <w:r>
              <w:rPr>
                <w:rFonts w:hint="eastAsia" w:ascii="宋体" w:hAnsi="宋体" w:eastAsia="宋体" w:cs="宋体"/>
                <w:spacing w:val="3"/>
                <w:sz w:val="21"/>
                <w:szCs w:val="21"/>
                <w:vertAlign w:val="superscript"/>
                <w:lang w:val="en-US" w:eastAsia="zh-CN"/>
              </w:rPr>
              <w:t>3</w:t>
            </w:r>
          </w:p>
        </w:tc>
      </w:tr>
      <w:tr w14:paraId="0B814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61" w:type="dxa"/>
            <w:gridSpan w:val="2"/>
            <w:vAlign w:val="center"/>
          </w:tcPr>
          <w:p w14:paraId="200816C9">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5"/>
                <w:sz w:val="21"/>
                <w:szCs w:val="21"/>
                <w:lang w:eastAsia="zh-CN"/>
              </w:rPr>
            </w:pPr>
            <w:r>
              <w:rPr>
                <w:rFonts w:hint="eastAsia" w:ascii="宋体" w:hAnsi="宋体" w:eastAsia="宋体" w:cs="宋体"/>
                <w:spacing w:val="5"/>
                <w:sz w:val="21"/>
                <w:szCs w:val="21"/>
                <w:lang w:eastAsia="zh-CN"/>
              </w:rPr>
              <w:t>彩钢拆除</w:t>
            </w:r>
          </w:p>
        </w:tc>
        <w:tc>
          <w:tcPr>
            <w:tcW w:w="4080" w:type="dxa"/>
            <w:vAlign w:val="center"/>
          </w:tcPr>
          <w:p w14:paraId="715EF0C9">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5"/>
                <w:sz w:val="21"/>
                <w:szCs w:val="21"/>
                <w:lang w:eastAsia="zh-CN"/>
              </w:rPr>
            </w:pPr>
            <w:r>
              <w:rPr>
                <w:rFonts w:hint="eastAsia" w:ascii="宋体" w:hAnsi="宋体" w:eastAsia="宋体" w:cs="宋体"/>
                <w:spacing w:val="5"/>
                <w:sz w:val="21"/>
                <w:szCs w:val="21"/>
                <w:lang w:eastAsia="zh-CN"/>
              </w:rPr>
              <w:t>拆除工业场地彩钢建筑</w:t>
            </w:r>
          </w:p>
        </w:tc>
        <w:tc>
          <w:tcPr>
            <w:tcW w:w="1099" w:type="dxa"/>
            <w:vAlign w:val="center"/>
          </w:tcPr>
          <w:p w14:paraId="62485211">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1555.0</w:t>
            </w:r>
            <w:r>
              <w:rPr>
                <w:rFonts w:hint="eastAsia" w:ascii="宋体" w:hAnsi="宋体" w:eastAsia="宋体" w:cs="宋体"/>
                <w:spacing w:val="2"/>
                <w:sz w:val="21"/>
                <w:szCs w:val="21"/>
                <w:vertAlign w:val="superscript"/>
              </w:rPr>
              <w:t>m</w:t>
            </w:r>
            <w:r>
              <w:rPr>
                <w:rFonts w:hint="eastAsia" w:ascii="宋体" w:hAnsi="宋体" w:eastAsia="宋体" w:cs="宋体"/>
                <w:spacing w:val="2"/>
                <w:sz w:val="21"/>
                <w:szCs w:val="21"/>
                <w:vertAlign w:val="superscript"/>
                <w:lang w:val="en-US" w:eastAsia="zh-CN"/>
              </w:rPr>
              <w:t>3</w:t>
            </w:r>
          </w:p>
        </w:tc>
      </w:tr>
      <w:tr w14:paraId="0C0AC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61" w:type="dxa"/>
            <w:gridSpan w:val="2"/>
            <w:vAlign w:val="center"/>
          </w:tcPr>
          <w:p w14:paraId="7A156D57">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5"/>
                <w:sz w:val="21"/>
                <w:szCs w:val="21"/>
                <w:lang w:eastAsia="zh-CN"/>
              </w:rPr>
            </w:pPr>
            <w:r>
              <w:rPr>
                <w:rFonts w:hint="eastAsia" w:ascii="宋体" w:hAnsi="宋体" w:eastAsia="宋体" w:cs="宋体"/>
                <w:spacing w:val="5"/>
                <w:sz w:val="21"/>
                <w:szCs w:val="21"/>
                <w:lang w:eastAsia="zh-CN"/>
              </w:rPr>
              <w:t>硬化拆除</w:t>
            </w:r>
          </w:p>
        </w:tc>
        <w:tc>
          <w:tcPr>
            <w:tcW w:w="4080" w:type="dxa"/>
            <w:vAlign w:val="center"/>
          </w:tcPr>
          <w:p w14:paraId="2310A150">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4"/>
                <w:sz w:val="21"/>
                <w:szCs w:val="21"/>
              </w:rPr>
            </w:pPr>
            <w:r>
              <w:rPr>
                <w:rFonts w:hint="eastAsia" w:ascii="宋体" w:hAnsi="宋体" w:eastAsia="宋体" w:cs="宋体"/>
                <w:spacing w:val="4"/>
                <w:sz w:val="21"/>
                <w:szCs w:val="21"/>
              </w:rPr>
              <w:t>平整厚度0.</w:t>
            </w:r>
            <w:r>
              <w:rPr>
                <w:rFonts w:hint="eastAsia" w:ascii="宋体" w:hAnsi="宋体" w:eastAsia="宋体" w:cs="宋体"/>
                <w:spacing w:val="4"/>
                <w:sz w:val="21"/>
                <w:szCs w:val="21"/>
                <w:lang w:eastAsia="zh-CN"/>
              </w:rPr>
              <w:t>1</w:t>
            </w:r>
            <w:r>
              <w:rPr>
                <w:rFonts w:hint="eastAsia" w:ascii="宋体" w:hAnsi="宋体" w:eastAsia="宋体" w:cs="宋体"/>
                <w:spacing w:val="4"/>
                <w:sz w:val="21"/>
                <w:szCs w:val="21"/>
              </w:rPr>
              <w:t>m</w:t>
            </w:r>
          </w:p>
        </w:tc>
        <w:tc>
          <w:tcPr>
            <w:tcW w:w="1099" w:type="dxa"/>
            <w:vAlign w:val="center"/>
          </w:tcPr>
          <w:p w14:paraId="50093388">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2"/>
                <w:sz w:val="21"/>
                <w:szCs w:val="21"/>
                <w:lang w:eastAsia="zh-CN"/>
              </w:rPr>
            </w:pPr>
            <w:r>
              <w:rPr>
                <w:rFonts w:hint="eastAsia" w:ascii="宋体" w:hAnsi="宋体" w:eastAsia="宋体" w:cs="宋体"/>
                <w:spacing w:val="2"/>
                <w:sz w:val="21"/>
                <w:szCs w:val="21"/>
                <w:lang w:val="en-US" w:eastAsia="zh-CN"/>
              </w:rPr>
              <w:t>257</w:t>
            </w:r>
            <w:r>
              <w:rPr>
                <w:rFonts w:hint="eastAsia" w:ascii="宋体" w:hAnsi="宋体" w:eastAsia="宋体" w:cs="宋体"/>
                <w:spacing w:val="2"/>
                <w:sz w:val="21"/>
                <w:szCs w:val="21"/>
                <w:lang w:eastAsia="zh-CN"/>
              </w:rPr>
              <w:t>m</w:t>
            </w:r>
            <w:r>
              <w:rPr>
                <w:rFonts w:hint="eastAsia" w:ascii="宋体" w:hAnsi="宋体" w:eastAsia="宋体" w:cs="宋体"/>
                <w:spacing w:val="2"/>
                <w:sz w:val="21"/>
                <w:szCs w:val="21"/>
                <w:vertAlign w:val="superscript"/>
                <w:lang w:eastAsia="zh-CN"/>
              </w:rPr>
              <w:t>3</w:t>
            </w:r>
          </w:p>
        </w:tc>
      </w:tr>
      <w:tr w14:paraId="510D5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61" w:type="dxa"/>
            <w:gridSpan w:val="2"/>
            <w:vAlign w:val="center"/>
          </w:tcPr>
          <w:p w14:paraId="159F477B">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5"/>
                <w:sz w:val="21"/>
                <w:szCs w:val="21"/>
                <w:lang w:eastAsia="zh-CN"/>
              </w:rPr>
            </w:pPr>
            <w:r>
              <w:rPr>
                <w:rFonts w:hint="eastAsia" w:ascii="宋体" w:hAnsi="宋体" w:eastAsia="宋体" w:cs="宋体"/>
                <w:spacing w:val="5"/>
                <w:sz w:val="21"/>
                <w:szCs w:val="21"/>
                <w:lang w:eastAsia="zh-CN"/>
              </w:rPr>
              <w:t>砖混拆除</w:t>
            </w:r>
          </w:p>
        </w:tc>
        <w:tc>
          <w:tcPr>
            <w:tcW w:w="4080" w:type="dxa"/>
            <w:vAlign w:val="center"/>
          </w:tcPr>
          <w:p w14:paraId="1A85FF85">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4"/>
                <w:sz w:val="21"/>
                <w:szCs w:val="21"/>
                <w:lang w:eastAsia="zh-CN"/>
              </w:rPr>
            </w:pPr>
            <w:r>
              <w:rPr>
                <w:rFonts w:hint="eastAsia" w:ascii="宋体" w:hAnsi="宋体" w:eastAsia="宋体" w:cs="宋体"/>
                <w:spacing w:val="4"/>
                <w:sz w:val="21"/>
                <w:szCs w:val="21"/>
                <w:lang w:eastAsia="zh-CN"/>
              </w:rPr>
              <w:t>围墙长660.0m，高1.8m，厚0.24m</w:t>
            </w:r>
          </w:p>
        </w:tc>
        <w:tc>
          <w:tcPr>
            <w:tcW w:w="1099" w:type="dxa"/>
            <w:vAlign w:val="center"/>
          </w:tcPr>
          <w:p w14:paraId="21A84FE2">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717</w:t>
            </w:r>
            <w:r>
              <w:rPr>
                <w:rFonts w:hint="eastAsia" w:ascii="宋体" w:hAnsi="宋体" w:eastAsia="宋体" w:cs="宋体"/>
                <w:spacing w:val="2"/>
                <w:sz w:val="21"/>
                <w:szCs w:val="21"/>
              </w:rPr>
              <w:t>m</w:t>
            </w:r>
            <w:r>
              <w:rPr>
                <w:rFonts w:hint="eastAsia" w:ascii="宋体" w:hAnsi="宋体" w:eastAsia="宋体" w:cs="宋体"/>
                <w:spacing w:val="2"/>
                <w:sz w:val="21"/>
                <w:szCs w:val="21"/>
                <w:vertAlign w:val="superscript"/>
                <w:lang w:val="en-US" w:eastAsia="zh-CN"/>
              </w:rPr>
              <w:t>3</w:t>
            </w:r>
          </w:p>
        </w:tc>
      </w:tr>
      <w:tr w14:paraId="40C16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61" w:type="dxa"/>
            <w:gridSpan w:val="2"/>
            <w:vAlign w:val="center"/>
          </w:tcPr>
          <w:p w14:paraId="08E6A715">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5"/>
                <w:sz w:val="21"/>
                <w:szCs w:val="21"/>
                <w:lang w:eastAsia="zh-CN"/>
              </w:rPr>
            </w:pPr>
            <w:r>
              <w:rPr>
                <w:rFonts w:hint="eastAsia" w:ascii="宋体" w:hAnsi="宋体" w:eastAsia="宋体" w:cs="宋体"/>
                <w:spacing w:val="5"/>
                <w:sz w:val="21"/>
                <w:szCs w:val="21"/>
              </w:rPr>
              <w:t>场地平整</w:t>
            </w:r>
          </w:p>
        </w:tc>
        <w:tc>
          <w:tcPr>
            <w:tcW w:w="4080" w:type="dxa"/>
            <w:vAlign w:val="center"/>
          </w:tcPr>
          <w:p w14:paraId="13A48994">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4"/>
                <w:sz w:val="21"/>
                <w:szCs w:val="21"/>
              </w:rPr>
            </w:pPr>
            <w:r>
              <w:rPr>
                <w:rFonts w:hint="eastAsia" w:ascii="宋体" w:hAnsi="宋体" w:eastAsia="宋体" w:cs="宋体"/>
                <w:spacing w:val="4"/>
                <w:sz w:val="21"/>
                <w:szCs w:val="21"/>
              </w:rPr>
              <w:t>平整厚度0.3m</w:t>
            </w:r>
          </w:p>
        </w:tc>
        <w:tc>
          <w:tcPr>
            <w:tcW w:w="1099" w:type="dxa"/>
            <w:vAlign w:val="center"/>
          </w:tcPr>
          <w:p w14:paraId="2A3EA80B">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119700</w:t>
            </w:r>
            <w:r>
              <w:rPr>
                <w:rFonts w:hint="eastAsia" w:ascii="宋体" w:hAnsi="宋体" w:eastAsia="宋体" w:cs="宋体"/>
                <w:spacing w:val="2"/>
                <w:sz w:val="21"/>
                <w:szCs w:val="21"/>
              </w:rPr>
              <w:t>m</w:t>
            </w:r>
            <w:r>
              <w:rPr>
                <w:rFonts w:hint="eastAsia" w:ascii="宋体" w:hAnsi="宋体" w:eastAsia="宋体" w:cs="宋体"/>
                <w:spacing w:val="2"/>
                <w:sz w:val="21"/>
                <w:szCs w:val="21"/>
                <w:vertAlign w:val="superscript"/>
                <w:lang w:val="en-US" w:eastAsia="zh-CN"/>
              </w:rPr>
              <w:t>3</w:t>
            </w:r>
          </w:p>
        </w:tc>
      </w:tr>
      <w:tr w14:paraId="012BA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61" w:type="dxa"/>
            <w:gridSpan w:val="2"/>
            <w:vAlign w:val="center"/>
          </w:tcPr>
          <w:p w14:paraId="569CC6EE">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截水沟</w:t>
            </w:r>
          </w:p>
        </w:tc>
        <w:tc>
          <w:tcPr>
            <w:tcW w:w="4080" w:type="dxa"/>
            <w:vAlign w:val="center"/>
          </w:tcPr>
          <w:p w14:paraId="57886FAD">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lang w:eastAsia="zh-CN"/>
              </w:rPr>
            </w:pPr>
            <w:r>
              <w:rPr>
                <w:rFonts w:hint="eastAsia" w:ascii="宋体" w:hAnsi="宋体" w:eastAsia="宋体" w:cs="宋体"/>
                <w:spacing w:val="9"/>
                <w:sz w:val="21"/>
                <w:szCs w:val="21"/>
                <w:lang w:eastAsia="zh-CN"/>
              </w:rPr>
              <w:t>在采场北侧、西侧及南侧设置截水沟，水</w:t>
            </w:r>
            <w:r>
              <w:rPr>
                <w:rFonts w:hint="eastAsia" w:ascii="宋体" w:hAnsi="宋体" w:eastAsia="宋体" w:cs="宋体"/>
                <w:spacing w:val="5"/>
                <w:sz w:val="21"/>
                <w:szCs w:val="21"/>
                <w:lang w:eastAsia="zh-CN"/>
              </w:rPr>
              <w:t>沟断面</w:t>
            </w:r>
            <w:r>
              <w:rPr>
                <w:rFonts w:hint="eastAsia" w:ascii="宋体" w:hAnsi="宋体" w:eastAsia="宋体" w:cs="宋体"/>
                <w:spacing w:val="5"/>
                <w:sz w:val="21"/>
                <w:szCs w:val="21"/>
                <w:lang w:val="en-US" w:eastAsia="zh-CN"/>
              </w:rPr>
              <w:t>0.6</w:t>
            </w:r>
            <w:r>
              <w:rPr>
                <w:rFonts w:hint="eastAsia" w:ascii="宋体" w:hAnsi="宋体" w:eastAsia="宋体" w:cs="宋体"/>
                <w:spacing w:val="5"/>
                <w:sz w:val="21"/>
                <w:szCs w:val="21"/>
                <w:lang w:eastAsia="zh-CN"/>
              </w:rPr>
              <w:t>m×0.</w:t>
            </w:r>
            <w:r>
              <w:rPr>
                <w:rFonts w:hint="eastAsia" w:ascii="宋体" w:hAnsi="宋体" w:eastAsia="宋体" w:cs="宋体"/>
                <w:spacing w:val="5"/>
                <w:sz w:val="21"/>
                <w:szCs w:val="21"/>
                <w:lang w:val="en-US" w:eastAsia="zh-CN"/>
              </w:rPr>
              <w:t>4</w:t>
            </w:r>
            <w:r>
              <w:rPr>
                <w:rFonts w:hint="eastAsia" w:ascii="宋体" w:hAnsi="宋体" w:eastAsia="宋体" w:cs="宋体"/>
                <w:spacing w:val="5"/>
                <w:sz w:val="21"/>
                <w:szCs w:val="21"/>
                <w:lang w:eastAsia="zh-CN"/>
              </w:rPr>
              <w:t>m×0.</w:t>
            </w:r>
            <w:r>
              <w:rPr>
                <w:rFonts w:hint="eastAsia" w:ascii="宋体" w:hAnsi="宋体" w:eastAsia="宋体" w:cs="宋体"/>
                <w:spacing w:val="5"/>
                <w:sz w:val="21"/>
                <w:szCs w:val="21"/>
                <w:lang w:val="en-US" w:eastAsia="zh-CN"/>
              </w:rPr>
              <w:t>4</w:t>
            </w:r>
            <w:r>
              <w:rPr>
                <w:rFonts w:hint="eastAsia" w:ascii="宋体" w:hAnsi="宋体" w:eastAsia="宋体" w:cs="宋体"/>
                <w:spacing w:val="5"/>
                <w:sz w:val="21"/>
                <w:szCs w:val="21"/>
                <w:lang w:eastAsia="zh-CN"/>
              </w:rPr>
              <w:t>m</w:t>
            </w:r>
          </w:p>
        </w:tc>
        <w:tc>
          <w:tcPr>
            <w:tcW w:w="1099" w:type="dxa"/>
            <w:vAlign w:val="center"/>
          </w:tcPr>
          <w:p w14:paraId="28312A2C">
            <w:pPr>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val="en-US" w:eastAsia="zh-CN"/>
              </w:rPr>
              <w:t>1420.8</w:t>
            </w:r>
            <w:r>
              <w:rPr>
                <w:rFonts w:hint="eastAsia" w:ascii="宋体" w:hAnsi="宋体" w:eastAsia="宋体" w:cs="宋体"/>
                <w:sz w:val="21"/>
                <w:szCs w:val="21"/>
                <w:lang w:eastAsia="zh-CN"/>
              </w:rPr>
              <w:t>m</w:t>
            </w:r>
          </w:p>
        </w:tc>
      </w:tr>
    </w:tbl>
    <w:p w14:paraId="4A5675B5">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10" w:name="bookmark158"/>
      <w:bookmarkEnd w:id="210"/>
      <w:bookmarkStart w:id="211" w:name="bookmark165"/>
      <w:bookmarkEnd w:id="211"/>
      <w:bookmarkStart w:id="212" w:name="bookmark159"/>
      <w:bookmarkEnd w:id="212"/>
      <w:bookmarkStart w:id="213" w:name="bookmark164"/>
      <w:bookmarkEnd w:id="213"/>
      <w:bookmarkStart w:id="214" w:name="_Toc20576"/>
      <w:bookmarkStart w:id="215" w:name="_Toc9695"/>
      <w:r>
        <w:rPr>
          <w:rFonts w:hint="eastAsia" w:ascii="宋体" w:hAnsi="宋体" w:eastAsia="宋体" w:cs="宋体"/>
          <w:sz w:val="28"/>
          <w:szCs w:val="28"/>
          <w:lang w:eastAsia="zh-CN"/>
        </w:rPr>
        <w:t>（二）修复措施</w:t>
      </w:r>
      <w:bookmarkEnd w:id="214"/>
      <w:bookmarkEnd w:id="215"/>
    </w:p>
    <w:p w14:paraId="71EE7A84">
      <w:pPr>
        <w:kinsoku/>
        <w:adjustRightInd/>
        <w:snapToGrid/>
        <w:spacing w:line="360" w:lineRule="auto"/>
        <w:ind w:firstLine="492" w:firstLineChars="200"/>
        <w:jc w:val="both"/>
        <w:rPr>
          <w:rFonts w:hint="eastAsia" w:ascii="宋体" w:hAnsi="宋体" w:eastAsia="宋体" w:cs="宋体"/>
          <w:sz w:val="28"/>
          <w:szCs w:val="28"/>
        </w:rPr>
      </w:pPr>
      <w:r>
        <w:rPr>
          <w:rFonts w:hint="eastAsia" w:ascii="宋体" w:hAnsi="宋体" w:eastAsia="宋体" w:cs="宋体"/>
          <w:spacing w:val="-17"/>
          <w:sz w:val="28"/>
          <w:szCs w:val="28"/>
          <w:lang w:eastAsia="zh-CN"/>
        </w:rPr>
        <w:t>1、</w:t>
      </w:r>
      <w:r>
        <w:rPr>
          <w:rFonts w:ascii="宋体" w:hAnsi="宋体" w:eastAsia="宋体" w:cs="宋体"/>
          <w:spacing w:val="-17"/>
          <w:sz w:val="28"/>
          <w:szCs w:val="28"/>
        </w:rPr>
        <w:t>工程技术措施</w:t>
      </w:r>
    </w:p>
    <w:p w14:paraId="64DF0B05">
      <w:pPr>
        <w:kinsoku/>
        <w:adjustRightInd/>
        <w:snapToGrid/>
        <w:spacing w:line="360" w:lineRule="auto"/>
        <w:ind w:firstLine="552" w:firstLineChars="200"/>
        <w:jc w:val="both"/>
        <w:rPr>
          <w:rFonts w:hint="eastAsia" w:ascii="宋体" w:hAnsi="宋体" w:eastAsia="宋体" w:cs="宋体"/>
          <w:sz w:val="28"/>
          <w:szCs w:val="28"/>
        </w:rPr>
      </w:pPr>
      <w:r>
        <w:rPr>
          <w:rFonts w:hint="eastAsia" w:ascii="宋体" w:hAnsi="宋体" w:eastAsia="宋体" w:cs="宋体"/>
          <w:spacing w:val="-2"/>
          <w:sz w:val="28"/>
          <w:szCs w:val="28"/>
          <w:lang w:eastAsia="zh-CN"/>
        </w:rPr>
        <w:t>⑴</w:t>
      </w:r>
      <w:r>
        <w:rPr>
          <w:rFonts w:ascii="宋体" w:hAnsi="宋体" w:eastAsia="宋体" w:cs="宋体"/>
          <w:spacing w:val="-5"/>
          <w:sz w:val="28"/>
          <w:szCs w:val="28"/>
        </w:rPr>
        <w:t>设计原则</w:t>
      </w:r>
    </w:p>
    <w:p w14:paraId="5BB69C67">
      <w:pPr>
        <w:kinsoku/>
        <w:adjustRightInd/>
        <w:snapToGrid/>
        <w:spacing w:line="360" w:lineRule="auto"/>
        <w:ind w:firstLine="552" w:firstLineChars="200"/>
        <w:jc w:val="both"/>
        <w:rPr>
          <w:rFonts w:hint="eastAsia" w:ascii="宋体" w:hAnsi="宋体" w:eastAsia="宋体" w:cs="宋体"/>
          <w:sz w:val="28"/>
          <w:szCs w:val="28"/>
          <w:lang w:eastAsia="zh-CN"/>
        </w:rPr>
      </w:pPr>
      <w:r>
        <w:rPr>
          <w:rFonts w:hint="eastAsia" w:ascii="宋体" w:hAnsi="宋体" w:eastAsia="宋体" w:cs="宋体"/>
          <w:spacing w:val="-2"/>
          <w:sz w:val="28"/>
          <w:szCs w:val="28"/>
          <w:lang w:eastAsia="zh-CN"/>
        </w:rPr>
        <w:t>①</w:t>
      </w:r>
      <w:r>
        <w:rPr>
          <w:rFonts w:ascii="宋体" w:hAnsi="宋体" w:eastAsia="宋体" w:cs="宋体"/>
          <w:spacing w:val="-2"/>
          <w:sz w:val="28"/>
          <w:szCs w:val="28"/>
          <w:lang w:eastAsia="zh-CN"/>
        </w:rPr>
        <w:t>工程</w:t>
      </w:r>
      <w:r>
        <w:rPr>
          <w:rFonts w:hint="eastAsia" w:ascii="宋体" w:hAnsi="宋体" w:eastAsia="宋体" w:cs="宋体"/>
          <w:spacing w:val="-2"/>
          <w:sz w:val="28"/>
          <w:szCs w:val="28"/>
          <w:lang w:eastAsia="zh-CN"/>
        </w:rPr>
        <w:t>修复</w:t>
      </w:r>
      <w:r>
        <w:rPr>
          <w:rFonts w:ascii="宋体" w:hAnsi="宋体" w:eastAsia="宋体" w:cs="宋体"/>
          <w:spacing w:val="-2"/>
          <w:sz w:val="28"/>
          <w:szCs w:val="28"/>
          <w:lang w:eastAsia="zh-CN"/>
        </w:rPr>
        <w:t>与生物</w:t>
      </w:r>
      <w:r>
        <w:rPr>
          <w:rFonts w:hint="eastAsia" w:ascii="宋体" w:hAnsi="宋体" w:eastAsia="宋体" w:cs="宋体"/>
          <w:spacing w:val="-2"/>
          <w:sz w:val="28"/>
          <w:szCs w:val="28"/>
          <w:lang w:eastAsia="zh-CN"/>
        </w:rPr>
        <w:t>修复</w:t>
      </w:r>
      <w:r>
        <w:rPr>
          <w:rFonts w:ascii="宋体" w:hAnsi="宋体" w:eastAsia="宋体" w:cs="宋体"/>
          <w:spacing w:val="-2"/>
          <w:sz w:val="28"/>
          <w:szCs w:val="28"/>
          <w:lang w:eastAsia="zh-CN"/>
        </w:rPr>
        <w:t>相结合</w:t>
      </w:r>
    </w:p>
    <w:p w14:paraId="079AF03E">
      <w:pPr>
        <w:kinsoku/>
        <w:adjustRightInd/>
        <w:snapToGrid/>
        <w:spacing w:line="360" w:lineRule="auto"/>
        <w:ind w:firstLine="560" w:firstLineChars="200"/>
        <w:jc w:val="both"/>
        <w:rPr>
          <w:rFonts w:hint="eastAsia" w:ascii="宋体" w:hAnsi="宋体" w:eastAsia="宋体" w:cs="宋体"/>
          <w:sz w:val="28"/>
          <w:szCs w:val="28"/>
          <w:lang w:eastAsia="zh-CN"/>
        </w:rPr>
      </w:pPr>
      <w:r>
        <w:rPr>
          <w:rFonts w:ascii="宋体" w:hAnsi="宋体" w:eastAsia="宋体" w:cs="宋体"/>
          <w:sz w:val="28"/>
          <w:szCs w:val="28"/>
          <w:lang w:eastAsia="zh-CN"/>
        </w:rPr>
        <w:t>矿区</w:t>
      </w:r>
      <w:r>
        <w:rPr>
          <w:rFonts w:hint="eastAsia" w:ascii="宋体" w:hAnsi="宋体" w:eastAsia="宋体" w:cs="宋体"/>
          <w:sz w:val="28"/>
          <w:szCs w:val="28"/>
          <w:lang w:eastAsia="zh-CN"/>
        </w:rPr>
        <w:t>生态修复</w:t>
      </w:r>
      <w:r>
        <w:rPr>
          <w:rFonts w:ascii="宋体" w:hAnsi="宋体" w:eastAsia="宋体" w:cs="宋体"/>
          <w:sz w:val="28"/>
          <w:szCs w:val="28"/>
          <w:lang w:eastAsia="zh-CN"/>
        </w:rPr>
        <w:t>分为工程</w:t>
      </w:r>
      <w:r>
        <w:rPr>
          <w:rFonts w:hint="eastAsia" w:ascii="宋体" w:hAnsi="宋体" w:eastAsia="宋体" w:cs="宋体"/>
          <w:sz w:val="28"/>
          <w:szCs w:val="28"/>
          <w:lang w:eastAsia="zh-CN"/>
        </w:rPr>
        <w:t>修复</w:t>
      </w:r>
      <w:r>
        <w:rPr>
          <w:rFonts w:ascii="宋体" w:hAnsi="宋体" w:eastAsia="宋体" w:cs="宋体"/>
          <w:sz w:val="28"/>
          <w:szCs w:val="28"/>
          <w:lang w:eastAsia="zh-CN"/>
        </w:rPr>
        <w:t>与生物</w:t>
      </w:r>
      <w:r>
        <w:rPr>
          <w:rFonts w:hint="eastAsia" w:ascii="宋体" w:hAnsi="宋体" w:eastAsia="宋体" w:cs="宋体"/>
          <w:sz w:val="28"/>
          <w:szCs w:val="28"/>
          <w:lang w:eastAsia="zh-CN"/>
        </w:rPr>
        <w:t>修复</w:t>
      </w:r>
      <w:r>
        <w:rPr>
          <w:rFonts w:ascii="宋体" w:hAnsi="宋体" w:eastAsia="宋体" w:cs="宋体"/>
          <w:sz w:val="28"/>
          <w:szCs w:val="28"/>
          <w:lang w:eastAsia="zh-CN"/>
        </w:rPr>
        <w:t>两个阶段，两者从时间上以及</w:t>
      </w:r>
      <w:r>
        <w:rPr>
          <w:rFonts w:ascii="宋体" w:hAnsi="宋体" w:eastAsia="宋体" w:cs="宋体"/>
          <w:spacing w:val="9"/>
          <w:sz w:val="28"/>
          <w:szCs w:val="28"/>
          <w:lang w:eastAsia="zh-CN"/>
        </w:rPr>
        <w:t>空间上都存在着紧密的联系，工程</w:t>
      </w:r>
      <w:r>
        <w:rPr>
          <w:rFonts w:hint="eastAsia" w:ascii="宋体" w:hAnsi="宋体" w:eastAsia="宋体" w:cs="宋体"/>
          <w:spacing w:val="9"/>
          <w:sz w:val="28"/>
          <w:szCs w:val="28"/>
          <w:lang w:eastAsia="zh-CN"/>
        </w:rPr>
        <w:t>修复</w:t>
      </w:r>
      <w:r>
        <w:rPr>
          <w:rFonts w:ascii="宋体" w:hAnsi="宋体" w:eastAsia="宋体" w:cs="宋体"/>
          <w:spacing w:val="9"/>
          <w:sz w:val="28"/>
          <w:szCs w:val="28"/>
          <w:lang w:eastAsia="zh-CN"/>
        </w:rPr>
        <w:t>是进行生</w:t>
      </w:r>
      <w:r>
        <w:rPr>
          <w:rFonts w:ascii="宋体" w:hAnsi="宋体" w:eastAsia="宋体" w:cs="宋体"/>
          <w:spacing w:val="8"/>
          <w:sz w:val="28"/>
          <w:szCs w:val="28"/>
          <w:lang w:eastAsia="zh-CN"/>
        </w:rPr>
        <w:t>物</w:t>
      </w:r>
      <w:r>
        <w:rPr>
          <w:rFonts w:hint="eastAsia" w:ascii="宋体" w:hAnsi="宋体" w:eastAsia="宋体" w:cs="宋体"/>
          <w:spacing w:val="8"/>
          <w:sz w:val="28"/>
          <w:szCs w:val="28"/>
          <w:lang w:eastAsia="zh-CN"/>
        </w:rPr>
        <w:t>修复</w:t>
      </w:r>
      <w:r>
        <w:rPr>
          <w:rFonts w:ascii="宋体" w:hAnsi="宋体" w:eastAsia="宋体" w:cs="宋体"/>
          <w:spacing w:val="8"/>
          <w:sz w:val="28"/>
          <w:szCs w:val="28"/>
          <w:lang w:eastAsia="zh-CN"/>
        </w:rPr>
        <w:t>的基础，所以应</w:t>
      </w:r>
      <w:r>
        <w:rPr>
          <w:rFonts w:ascii="宋体" w:hAnsi="宋体" w:eastAsia="宋体" w:cs="宋体"/>
          <w:spacing w:val="9"/>
          <w:sz w:val="28"/>
          <w:szCs w:val="28"/>
          <w:lang w:eastAsia="zh-CN"/>
        </w:rPr>
        <w:t>将两者有机的结合起来使用，并安排好它们的时</w:t>
      </w:r>
      <w:r>
        <w:rPr>
          <w:rFonts w:ascii="宋体" w:hAnsi="宋体" w:eastAsia="宋体" w:cs="宋体"/>
          <w:spacing w:val="8"/>
          <w:sz w:val="28"/>
          <w:szCs w:val="28"/>
          <w:lang w:eastAsia="zh-CN"/>
        </w:rPr>
        <w:t>序关系，才能更好的恢</w:t>
      </w:r>
      <w:r>
        <w:rPr>
          <w:rFonts w:ascii="宋体" w:hAnsi="宋体" w:eastAsia="宋体" w:cs="宋体"/>
          <w:spacing w:val="9"/>
          <w:sz w:val="28"/>
          <w:szCs w:val="28"/>
          <w:lang w:eastAsia="zh-CN"/>
        </w:rPr>
        <w:t>复被损毁的土地的利用价值。同时还应该注意，</w:t>
      </w:r>
      <w:r>
        <w:rPr>
          <w:rFonts w:ascii="宋体" w:hAnsi="宋体" w:eastAsia="宋体" w:cs="宋体"/>
          <w:spacing w:val="8"/>
          <w:sz w:val="28"/>
          <w:szCs w:val="28"/>
          <w:lang w:eastAsia="zh-CN"/>
        </w:rPr>
        <w:t>生物</w:t>
      </w:r>
      <w:r>
        <w:rPr>
          <w:rFonts w:hint="eastAsia" w:ascii="宋体" w:hAnsi="宋体" w:eastAsia="宋体" w:cs="宋体"/>
          <w:spacing w:val="8"/>
          <w:sz w:val="28"/>
          <w:szCs w:val="28"/>
          <w:lang w:eastAsia="zh-CN"/>
        </w:rPr>
        <w:t>修复</w:t>
      </w:r>
      <w:r>
        <w:rPr>
          <w:rFonts w:ascii="宋体" w:hAnsi="宋体" w:eastAsia="宋体" w:cs="宋体"/>
          <w:spacing w:val="8"/>
          <w:sz w:val="28"/>
          <w:szCs w:val="28"/>
          <w:lang w:eastAsia="zh-CN"/>
        </w:rPr>
        <w:t>要符合当地的</w:t>
      </w:r>
      <w:r>
        <w:rPr>
          <w:rFonts w:ascii="宋体" w:hAnsi="宋体" w:eastAsia="宋体" w:cs="宋体"/>
          <w:spacing w:val="9"/>
          <w:sz w:val="28"/>
          <w:szCs w:val="28"/>
          <w:lang w:eastAsia="zh-CN"/>
        </w:rPr>
        <w:t>自然规律与经验，与当地的气象、土壤条件相适</w:t>
      </w:r>
      <w:r>
        <w:rPr>
          <w:rFonts w:ascii="宋体" w:hAnsi="宋体" w:eastAsia="宋体" w:cs="宋体"/>
          <w:spacing w:val="8"/>
          <w:sz w:val="28"/>
          <w:szCs w:val="28"/>
          <w:lang w:eastAsia="zh-CN"/>
        </w:rPr>
        <w:t>应，促进</w:t>
      </w:r>
      <w:r>
        <w:rPr>
          <w:rFonts w:hint="eastAsia" w:ascii="宋体" w:hAnsi="宋体" w:eastAsia="宋体" w:cs="宋体"/>
          <w:spacing w:val="8"/>
          <w:sz w:val="28"/>
          <w:szCs w:val="28"/>
          <w:lang w:eastAsia="zh-CN"/>
        </w:rPr>
        <w:t>修复</w:t>
      </w:r>
      <w:r>
        <w:rPr>
          <w:rFonts w:ascii="宋体" w:hAnsi="宋体" w:eastAsia="宋体" w:cs="宋体"/>
          <w:spacing w:val="8"/>
          <w:sz w:val="28"/>
          <w:szCs w:val="28"/>
          <w:lang w:eastAsia="zh-CN"/>
        </w:rPr>
        <w:t>土地的良</w:t>
      </w:r>
      <w:r>
        <w:rPr>
          <w:rFonts w:ascii="宋体" w:hAnsi="宋体" w:eastAsia="宋体" w:cs="宋体"/>
          <w:spacing w:val="-3"/>
          <w:sz w:val="28"/>
          <w:szCs w:val="28"/>
          <w:lang w:eastAsia="zh-CN"/>
        </w:rPr>
        <w:t>性循环。</w:t>
      </w:r>
    </w:p>
    <w:p w14:paraId="5DFF1F50">
      <w:pPr>
        <w:kinsoku/>
        <w:adjustRightInd/>
        <w:snapToGrid/>
        <w:spacing w:line="360" w:lineRule="auto"/>
        <w:ind w:firstLine="556" w:firstLineChars="200"/>
        <w:jc w:val="both"/>
        <w:rPr>
          <w:rFonts w:hint="eastAsia" w:ascii="宋体" w:hAnsi="宋体" w:eastAsia="宋体" w:cs="宋体"/>
          <w:sz w:val="28"/>
          <w:szCs w:val="28"/>
          <w:lang w:eastAsia="zh-CN"/>
        </w:rPr>
      </w:pPr>
      <w:r>
        <w:rPr>
          <w:rFonts w:hint="eastAsia" w:ascii="宋体" w:hAnsi="宋体" w:eastAsia="宋体" w:cs="宋体"/>
          <w:spacing w:val="-1"/>
          <w:sz w:val="28"/>
          <w:szCs w:val="28"/>
          <w:lang w:eastAsia="zh-CN"/>
        </w:rPr>
        <w:t>②</w:t>
      </w:r>
      <w:r>
        <w:rPr>
          <w:rFonts w:ascii="宋体" w:hAnsi="宋体" w:eastAsia="宋体" w:cs="宋体"/>
          <w:spacing w:val="-1"/>
          <w:sz w:val="28"/>
          <w:szCs w:val="28"/>
          <w:lang w:eastAsia="zh-CN"/>
        </w:rPr>
        <w:t>恢复受损的生态，恢复土地利用价值</w:t>
      </w:r>
    </w:p>
    <w:p w14:paraId="1F612106">
      <w:pPr>
        <w:kinsoku/>
        <w:adjustRightInd/>
        <w:snapToGrid/>
        <w:spacing w:line="360" w:lineRule="auto"/>
        <w:ind w:firstLine="552" w:firstLineChars="200"/>
        <w:jc w:val="both"/>
        <w:rPr>
          <w:rFonts w:hint="eastAsia" w:ascii="宋体" w:hAnsi="宋体" w:eastAsia="宋体" w:cs="宋体"/>
          <w:color w:val="EE0000"/>
          <w:sz w:val="28"/>
          <w:szCs w:val="28"/>
          <w:lang w:eastAsia="zh-CN"/>
        </w:rPr>
      </w:pPr>
      <w:r>
        <w:rPr>
          <w:rFonts w:ascii="宋体" w:hAnsi="宋体" w:eastAsia="宋体" w:cs="宋体"/>
          <w:spacing w:val="-2"/>
          <w:sz w:val="28"/>
          <w:szCs w:val="28"/>
          <w:lang w:eastAsia="zh-CN"/>
        </w:rPr>
        <w:t>矿山在经过长期的生产运行后，将导致区域</w:t>
      </w:r>
      <w:r>
        <w:rPr>
          <w:rFonts w:ascii="宋体" w:hAnsi="宋体" w:eastAsia="宋体" w:cs="宋体"/>
          <w:spacing w:val="-3"/>
          <w:sz w:val="28"/>
          <w:szCs w:val="28"/>
          <w:lang w:eastAsia="zh-CN"/>
        </w:rPr>
        <w:t>内生态环境受到强烈扰动，</w:t>
      </w:r>
      <w:r>
        <w:rPr>
          <w:rFonts w:ascii="宋体" w:hAnsi="宋体" w:eastAsia="宋体" w:cs="宋体"/>
          <w:spacing w:val="8"/>
          <w:sz w:val="28"/>
          <w:szCs w:val="28"/>
          <w:lang w:eastAsia="zh-CN"/>
        </w:rPr>
        <w:t>部分土地彻底丧失其原有的价值，地表碎石裸露，水土流失加大，本方</w:t>
      </w:r>
      <w:r>
        <w:rPr>
          <w:rFonts w:ascii="宋体" w:hAnsi="宋体" w:eastAsia="宋体" w:cs="宋体"/>
          <w:spacing w:val="9"/>
          <w:sz w:val="28"/>
          <w:szCs w:val="28"/>
          <w:lang w:eastAsia="zh-CN"/>
        </w:rPr>
        <w:t>案工程设计中应当以恢复受损生态系统为原</w:t>
      </w:r>
      <w:r>
        <w:rPr>
          <w:rFonts w:ascii="宋体" w:hAnsi="宋体" w:eastAsia="宋体" w:cs="宋体"/>
          <w:spacing w:val="8"/>
          <w:sz w:val="28"/>
          <w:szCs w:val="28"/>
          <w:lang w:eastAsia="zh-CN"/>
        </w:rPr>
        <w:t>则，尽量恢复土地的利用价</w:t>
      </w:r>
      <w:r>
        <w:rPr>
          <w:rFonts w:ascii="宋体" w:hAnsi="宋体" w:eastAsia="宋体" w:cs="宋体"/>
          <w:sz w:val="28"/>
          <w:szCs w:val="28"/>
          <w:lang w:eastAsia="zh-CN"/>
        </w:rPr>
        <w:t>值。在</w:t>
      </w:r>
      <w:r>
        <w:rPr>
          <w:rFonts w:hint="eastAsia" w:ascii="宋体" w:hAnsi="宋体" w:eastAsia="宋体" w:cs="宋体"/>
          <w:sz w:val="28"/>
          <w:szCs w:val="28"/>
          <w:lang w:eastAsia="zh-CN"/>
        </w:rPr>
        <w:t>修复</w:t>
      </w:r>
      <w:r>
        <w:rPr>
          <w:rFonts w:ascii="宋体" w:hAnsi="宋体" w:eastAsia="宋体" w:cs="宋体"/>
          <w:sz w:val="28"/>
          <w:szCs w:val="28"/>
          <w:lang w:eastAsia="zh-CN"/>
        </w:rPr>
        <w:t>时需严格贯彻</w:t>
      </w:r>
      <w:r>
        <w:rPr>
          <w:rFonts w:hint="eastAsia" w:ascii="宋体" w:hAnsi="宋体" w:eastAsia="宋体" w:cs="宋体"/>
          <w:sz w:val="28"/>
          <w:szCs w:val="28"/>
          <w:lang w:eastAsia="zh-CN"/>
        </w:rPr>
        <w:t>修复</w:t>
      </w:r>
      <w:r>
        <w:rPr>
          <w:rFonts w:ascii="宋体" w:hAnsi="宋体" w:eastAsia="宋体" w:cs="宋体"/>
          <w:sz w:val="28"/>
          <w:szCs w:val="28"/>
          <w:lang w:eastAsia="zh-CN"/>
        </w:rPr>
        <w:t>标准</w:t>
      </w:r>
      <w:r>
        <w:rPr>
          <w:rFonts w:ascii="宋体" w:hAnsi="宋体" w:eastAsia="宋体" w:cs="宋体"/>
          <w:spacing w:val="8"/>
          <w:sz w:val="28"/>
          <w:szCs w:val="28"/>
          <w:lang w:eastAsia="zh-CN"/>
        </w:rPr>
        <w:t>，重点控制</w:t>
      </w:r>
      <w:r>
        <w:rPr>
          <w:rFonts w:hint="eastAsia" w:ascii="宋体" w:hAnsi="宋体" w:eastAsia="宋体" w:cs="宋体"/>
          <w:spacing w:val="8"/>
          <w:sz w:val="28"/>
          <w:szCs w:val="28"/>
          <w:lang w:eastAsia="zh-CN"/>
        </w:rPr>
        <w:t>修复</w:t>
      </w:r>
      <w:r>
        <w:rPr>
          <w:rFonts w:ascii="宋体" w:hAnsi="宋体" w:eastAsia="宋体" w:cs="宋体"/>
          <w:spacing w:val="8"/>
          <w:sz w:val="28"/>
          <w:szCs w:val="28"/>
          <w:lang w:eastAsia="zh-CN"/>
        </w:rPr>
        <w:t>场地的坡度、平整度、土层厚度、水土保持措施等指标。</w:t>
      </w:r>
    </w:p>
    <w:p w14:paraId="6C3C984D">
      <w:pPr>
        <w:kinsoku/>
        <w:adjustRightInd/>
        <w:snapToGrid/>
        <w:spacing w:line="360" w:lineRule="auto"/>
        <w:ind w:firstLine="552" w:firstLineChars="200"/>
        <w:jc w:val="both"/>
        <w:rPr>
          <w:rFonts w:hint="eastAsia" w:ascii="宋体" w:hAnsi="宋体" w:eastAsia="宋体" w:cs="宋体"/>
          <w:sz w:val="28"/>
          <w:szCs w:val="28"/>
          <w:lang w:eastAsia="zh-CN"/>
        </w:rPr>
      </w:pPr>
      <w:r>
        <w:rPr>
          <w:rFonts w:hint="eastAsia" w:ascii="宋体" w:hAnsi="宋体" w:eastAsia="宋体" w:cs="宋体"/>
          <w:spacing w:val="-2"/>
          <w:sz w:val="28"/>
          <w:szCs w:val="28"/>
          <w:lang w:eastAsia="zh-CN"/>
        </w:rPr>
        <w:t>⑵</w:t>
      </w:r>
      <w:r>
        <w:rPr>
          <w:rFonts w:ascii="宋体" w:hAnsi="宋体" w:eastAsia="宋体" w:cs="宋体"/>
          <w:spacing w:val="-2"/>
          <w:sz w:val="28"/>
          <w:szCs w:val="28"/>
          <w:lang w:eastAsia="zh-CN"/>
        </w:rPr>
        <w:t>工程技术措施</w:t>
      </w:r>
    </w:p>
    <w:p w14:paraId="6BABB9DB">
      <w:pPr>
        <w:kinsoku/>
        <w:adjustRightInd/>
        <w:snapToGrid/>
        <w:spacing w:line="360" w:lineRule="auto"/>
        <w:ind w:firstLine="576" w:firstLineChars="200"/>
        <w:jc w:val="both"/>
        <w:rPr>
          <w:rFonts w:hint="eastAsia" w:ascii="宋体" w:hAnsi="宋体" w:eastAsia="宋体" w:cs="宋体"/>
          <w:sz w:val="28"/>
          <w:szCs w:val="28"/>
          <w:lang w:eastAsia="zh-CN"/>
        </w:rPr>
      </w:pPr>
      <w:r>
        <w:rPr>
          <w:rFonts w:hint="eastAsia" w:ascii="宋体" w:hAnsi="宋体" w:eastAsia="宋体" w:cs="宋体"/>
          <w:spacing w:val="4"/>
          <w:sz w:val="28"/>
          <w:szCs w:val="28"/>
          <w:lang w:eastAsia="zh-CN"/>
        </w:rPr>
        <w:t>①</w:t>
      </w:r>
      <w:r>
        <w:rPr>
          <w:rFonts w:ascii="宋体" w:hAnsi="宋体" w:eastAsia="宋体" w:cs="宋体"/>
          <w:spacing w:val="4"/>
          <w:sz w:val="28"/>
          <w:szCs w:val="28"/>
          <w:lang w:eastAsia="zh-CN"/>
        </w:rPr>
        <w:t>平整场地措施：清理后的场地可能起伏不平，难以达到预期</w:t>
      </w:r>
      <w:r>
        <w:rPr>
          <w:rFonts w:ascii="宋体" w:hAnsi="宋体" w:eastAsia="宋体" w:cs="宋体"/>
          <w:spacing w:val="8"/>
          <w:sz w:val="28"/>
          <w:szCs w:val="28"/>
          <w:lang w:eastAsia="zh-CN"/>
        </w:rPr>
        <w:t>的土地利用方向，需对场地进行平整；考虑排水工程要求，平整后将高处土壤向低洼处回填，使平整后的平台面向一侧形成一定的坡角，便于</w:t>
      </w:r>
      <w:r>
        <w:rPr>
          <w:rFonts w:ascii="宋体" w:hAnsi="宋体" w:eastAsia="宋体" w:cs="宋体"/>
          <w:spacing w:val="23"/>
          <w:sz w:val="28"/>
          <w:szCs w:val="28"/>
          <w:lang w:eastAsia="zh-CN"/>
        </w:rPr>
        <w:t>自流排水，平整后的土地坡度不大于10°（采场内边坡坡面坡度≤</w:t>
      </w:r>
      <w:r>
        <w:rPr>
          <w:rFonts w:hint="eastAsia" w:ascii="宋体" w:hAnsi="宋体" w:eastAsia="宋体" w:cs="宋体"/>
          <w:spacing w:val="-22"/>
          <w:sz w:val="28"/>
          <w:szCs w:val="28"/>
          <w:lang w:val="en-US" w:eastAsia="zh-CN"/>
        </w:rPr>
        <w:t>20</w:t>
      </w:r>
      <w:r>
        <w:rPr>
          <w:rFonts w:ascii="宋体" w:hAnsi="宋体" w:eastAsia="宋体" w:cs="宋体"/>
          <w:spacing w:val="-22"/>
          <w:sz w:val="28"/>
          <w:szCs w:val="28"/>
          <w:lang w:eastAsia="zh-CN"/>
        </w:rPr>
        <w:t>°)。</w:t>
      </w:r>
    </w:p>
    <w:p w14:paraId="3605F860">
      <w:pPr>
        <w:pStyle w:val="3"/>
        <w:keepNext w:val="0"/>
        <w:keepLines w:val="0"/>
        <w:widowControl w:val="0"/>
        <w:adjustRightInd/>
        <w:snapToGrid/>
        <w:spacing w:before="0" w:after="0" w:line="360" w:lineRule="auto"/>
        <w:rPr>
          <w:rFonts w:hint="eastAsia" w:ascii="宋体" w:hAnsi="宋体" w:eastAsia="宋体" w:cs="宋体"/>
          <w:sz w:val="30"/>
          <w:szCs w:val="30"/>
          <w:lang w:eastAsia="zh-CN"/>
        </w:rPr>
      </w:pPr>
      <w:bookmarkStart w:id="216" w:name="bookmark167"/>
      <w:bookmarkEnd w:id="216"/>
      <w:bookmarkStart w:id="217" w:name="bookmark166"/>
      <w:bookmarkEnd w:id="217"/>
      <w:bookmarkStart w:id="218" w:name="_Toc22749"/>
      <w:r>
        <w:rPr>
          <w:rFonts w:hint="eastAsia" w:ascii="宋体" w:hAnsi="宋体" w:eastAsia="宋体" w:cs="宋体"/>
          <w:sz w:val="30"/>
          <w:szCs w:val="30"/>
          <w:lang w:eastAsia="zh-CN"/>
        </w:rPr>
        <w:t>三、工程内容</w:t>
      </w:r>
      <w:bookmarkEnd w:id="218"/>
    </w:p>
    <w:p w14:paraId="1E16516B">
      <w:pPr>
        <w:keepNext w:val="0"/>
        <w:keepLines w:val="0"/>
        <w:pageBreakBefore w:val="0"/>
        <w:widowControl w:val="0"/>
        <w:kinsoku/>
        <w:wordWrap/>
        <w:overflowPunct w:val="0"/>
        <w:topLinePunct w:val="0"/>
        <w:autoSpaceDE w:val="0"/>
        <w:autoSpaceDN w:val="0"/>
        <w:bidi w:val="0"/>
        <w:adjustRightInd/>
        <w:snapToGrid/>
        <w:spacing w:line="360" w:lineRule="auto"/>
        <w:ind w:firstLine="552" w:firstLineChars="200"/>
        <w:jc w:val="both"/>
        <w:textAlignment w:val="baseline"/>
        <w:rPr>
          <w:rFonts w:hint="eastAsia" w:ascii="宋体" w:hAnsi="宋体" w:eastAsia="宋体" w:cs="宋体"/>
          <w:spacing w:val="-2"/>
          <w:sz w:val="28"/>
          <w:szCs w:val="28"/>
          <w:lang w:eastAsia="zh-CN"/>
        </w:rPr>
      </w:pPr>
      <w:r>
        <w:rPr>
          <w:rFonts w:hint="eastAsia" w:ascii="宋体" w:hAnsi="宋体" w:eastAsia="宋体" w:cs="宋体"/>
          <w:spacing w:val="-2"/>
          <w:sz w:val="28"/>
          <w:szCs w:val="28"/>
          <w:lang w:eastAsia="zh-CN"/>
        </w:rPr>
        <w:t>本方案修复责任范围面积为</w:t>
      </w:r>
      <w:r>
        <w:rPr>
          <w:rFonts w:hint="eastAsia" w:ascii="宋体" w:hAnsi="宋体" w:eastAsia="宋体" w:cs="宋体"/>
          <w:spacing w:val="-2"/>
          <w:sz w:val="28"/>
          <w:szCs w:val="28"/>
          <w:lang w:val="en-US" w:eastAsia="zh-CN"/>
        </w:rPr>
        <w:t>104.47</w:t>
      </w:r>
      <w:r>
        <w:rPr>
          <w:rFonts w:hint="eastAsia" w:ascii="宋体" w:hAnsi="宋体" w:eastAsia="宋体" w:cs="宋体"/>
          <w:spacing w:val="-2"/>
          <w:sz w:val="28"/>
          <w:szCs w:val="28"/>
          <w:lang w:eastAsia="zh-CN"/>
        </w:rPr>
        <w:t>hm</w:t>
      </w:r>
      <w:r>
        <w:rPr>
          <w:rFonts w:hint="eastAsia" w:ascii="宋体" w:hAnsi="宋体" w:eastAsia="宋体" w:cs="宋体"/>
          <w:spacing w:val="-2"/>
          <w:sz w:val="28"/>
          <w:szCs w:val="28"/>
          <w:vertAlign w:val="superscript"/>
          <w:lang w:eastAsia="zh-CN"/>
        </w:rPr>
        <w:t>2</w:t>
      </w:r>
      <w:r>
        <w:rPr>
          <w:rFonts w:hint="eastAsia" w:ascii="宋体" w:hAnsi="宋体" w:eastAsia="宋体" w:cs="宋体"/>
          <w:spacing w:val="-2"/>
          <w:sz w:val="28"/>
          <w:szCs w:val="28"/>
          <w:lang w:eastAsia="zh-CN"/>
        </w:rPr>
        <w:t>，实际修复面积为</w:t>
      </w:r>
      <w:r>
        <w:rPr>
          <w:rFonts w:hint="eastAsia" w:ascii="宋体" w:hAnsi="宋体" w:eastAsia="宋体" w:cs="宋体"/>
          <w:spacing w:val="-2"/>
          <w:sz w:val="28"/>
          <w:szCs w:val="28"/>
          <w:lang w:val="en-US" w:eastAsia="zh-CN"/>
        </w:rPr>
        <w:t>104.47</w:t>
      </w:r>
      <w:r>
        <w:rPr>
          <w:rFonts w:hint="eastAsia" w:ascii="宋体" w:hAnsi="宋体" w:eastAsia="宋体" w:cs="宋体"/>
          <w:spacing w:val="-2"/>
          <w:sz w:val="28"/>
          <w:szCs w:val="28"/>
          <w:lang w:eastAsia="zh-CN"/>
        </w:rPr>
        <w:t>hm</w:t>
      </w:r>
      <w:r>
        <w:rPr>
          <w:rFonts w:hint="eastAsia" w:ascii="宋体" w:hAnsi="宋体" w:eastAsia="宋体" w:cs="宋体"/>
          <w:spacing w:val="-2"/>
          <w:sz w:val="28"/>
          <w:szCs w:val="28"/>
          <w:vertAlign w:val="superscript"/>
          <w:lang w:eastAsia="zh-CN"/>
        </w:rPr>
        <w:t>2</w:t>
      </w:r>
      <w:r>
        <w:rPr>
          <w:rFonts w:hint="eastAsia" w:ascii="宋体" w:hAnsi="宋体" w:eastAsia="宋体" w:cs="宋体"/>
          <w:spacing w:val="-2"/>
          <w:sz w:val="28"/>
          <w:szCs w:val="28"/>
          <w:lang w:eastAsia="zh-CN"/>
        </w:rPr>
        <w:t>，修复为沙地面积</w:t>
      </w:r>
      <w:r>
        <w:rPr>
          <w:rFonts w:hint="eastAsia" w:ascii="宋体" w:hAnsi="宋体" w:eastAsia="宋体" w:cs="宋体"/>
          <w:spacing w:val="-2"/>
          <w:sz w:val="28"/>
          <w:szCs w:val="28"/>
          <w:lang w:val="en-US" w:eastAsia="zh-CN"/>
        </w:rPr>
        <w:t>104.47</w:t>
      </w:r>
      <w:r>
        <w:rPr>
          <w:rFonts w:hint="eastAsia" w:ascii="宋体" w:hAnsi="宋体" w:eastAsia="宋体" w:cs="宋体"/>
          <w:spacing w:val="-2"/>
          <w:sz w:val="28"/>
          <w:szCs w:val="28"/>
          <w:lang w:eastAsia="zh-CN"/>
        </w:rPr>
        <w:t>hm</w:t>
      </w:r>
      <w:r>
        <w:rPr>
          <w:rFonts w:hint="eastAsia" w:ascii="宋体" w:hAnsi="宋体" w:eastAsia="宋体" w:cs="宋体"/>
          <w:spacing w:val="-2"/>
          <w:sz w:val="28"/>
          <w:szCs w:val="28"/>
          <w:vertAlign w:val="superscript"/>
          <w:lang w:eastAsia="zh-CN"/>
        </w:rPr>
        <w:t>2</w:t>
      </w:r>
      <w:r>
        <w:rPr>
          <w:rFonts w:hint="eastAsia" w:ascii="宋体" w:hAnsi="宋体" w:eastAsia="宋体" w:cs="宋体"/>
          <w:spacing w:val="-2"/>
          <w:sz w:val="28"/>
          <w:szCs w:val="28"/>
          <w:lang w:eastAsia="zh-CN"/>
        </w:rPr>
        <w:t>。根据本方案修复目标设计的工程措施，估算出矿区生态修复方案工程量，详见表4-4、4-5。</w:t>
      </w:r>
    </w:p>
    <w:p w14:paraId="470D527F">
      <w:pPr>
        <w:spacing w:before="3" w:line="227" w:lineRule="auto"/>
        <w:jc w:val="center"/>
        <w:rPr>
          <w:rFonts w:hint="eastAsia" w:ascii="宋体" w:hAnsi="宋体" w:eastAsia="宋体" w:cs="宋体"/>
          <w:b/>
          <w:bCs/>
          <w:spacing w:val="6"/>
          <w:sz w:val="21"/>
          <w:szCs w:val="21"/>
          <w:lang w:eastAsia="zh-CN"/>
        </w:rPr>
      </w:pPr>
      <w:r>
        <w:rPr>
          <w:rFonts w:hint="eastAsia" w:ascii="宋体" w:hAnsi="宋体" w:eastAsia="宋体" w:cs="宋体"/>
          <w:b/>
          <w:bCs/>
          <w:spacing w:val="6"/>
          <w:sz w:val="21"/>
          <w:szCs w:val="21"/>
          <w:lang w:eastAsia="zh-CN"/>
        </w:rPr>
        <w:t>表4-4  修复前后土地利用结构调整表</w:t>
      </w:r>
    </w:p>
    <w:tbl>
      <w:tblPr>
        <w:tblStyle w:val="22"/>
        <w:tblW w:w="8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19"/>
        <w:gridCol w:w="1744"/>
        <w:gridCol w:w="990"/>
        <w:gridCol w:w="1417"/>
        <w:gridCol w:w="1698"/>
        <w:gridCol w:w="1298"/>
      </w:tblGrid>
      <w:tr w14:paraId="411C4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2663" w:type="dxa"/>
            <w:gridSpan w:val="2"/>
            <w:vAlign w:val="center"/>
          </w:tcPr>
          <w:p w14:paraId="6522A6BB">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3"/>
                <w:sz w:val="21"/>
                <w:szCs w:val="21"/>
                <w:lang w:eastAsia="zh-CN"/>
              </w:rPr>
            </w:pPr>
            <w:r>
              <w:rPr>
                <w:rFonts w:hint="eastAsia" w:ascii="宋体" w:hAnsi="宋体" w:eastAsia="宋体" w:cs="宋体"/>
                <w:spacing w:val="-3"/>
                <w:sz w:val="21"/>
                <w:szCs w:val="21"/>
                <w:lang w:eastAsia="zh-CN"/>
              </w:rPr>
              <w:t>一级地类</w:t>
            </w:r>
          </w:p>
        </w:tc>
        <w:tc>
          <w:tcPr>
            <w:tcW w:w="2407" w:type="dxa"/>
            <w:gridSpan w:val="2"/>
            <w:vAlign w:val="center"/>
          </w:tcPr>
          <w:p w14:paraId="7D63308B">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3"/>
                <w:sz w:val="21"/>
                <w:szCs w:val="21"/>
                <w:lang w:eastAsia="zh-CN"/>
              </w:rPr>
            </w:pPr>
            <w:r>
              <w:rPr>
                <w:rFonts w:hint="eastAsia" w:ascii="宋体" w:hAnsi="宋体" w:eastAsia="宋体" w:cs="宋体"/>
                <w:spacing w:val="-3"/>
                <w:sz w:val="21"/>
                <w:szCs w:val="21"/>
                <w:lang w:eastAsia="zh-CN"/>
              </w:rPr>
              <w:t>二级地类</w:t>
            </w:r>
          </w:p>
        </w:tc>
        <w:tc>
          <w:tcPr>
            <w:tcW w:w="1698" w:type="dxa"/>
            <w:vMerge w:val="restart"/>
            <w:vAlign w:val="center"/>
          </w:tcPr>
          <w:p w14:paraId="614A31D1">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3"/>
                <w:sz w:val="21"/>
                <w:szCs w:val="21"/>
                <w:lang w:eastAsia="zh-CN"/>
              </w:rPr>
            </w:pPr>
            <w:r>
              <w:rPr>
                <w:rFonts w:hint="eastAsia" w:cs="宋体"/>
                <w:spacing w:val="-3"/>
                <w:sz w:val="21"/>
                <w:szCs w:val="21"/>
                <w:lang w:eastAsia="zh-CN"/>
              </w:rPr>
              <w:t>修复</w:t>
            </w:r>
            <w:r>
              <w:rPr>
                <w:rFonts w:hint="eastAsia" w:ascii="宋体" w:hAnsi="宋体" w:eastAsia="宋体" w:cs="宋体"/>
                <w:spacing w:val="-3"/>
                <w:sz w:val="21"/>
                <w:szCs w:val="21"/>
                <w:lang w:eastAsia="zh-CN"/>
              </w:rPr>
              <w:t>前（hm</w:t>
            </w:r>
            <w:r>
              <w:rPr>
                <w:rFonts w:hint="eastAsia" w:ascii="宋体" w:hAnsi="宋体" w:eastAsia="宋体" w:cs="宋体"/>
                <w:spacing w:val="-3"/>
                <w:sz w:val="21"/>
                <w:szCs w:val="21"/>
                <w:vertAlign w:val="superscript"/>
                <w:lang w:eastAsia="zh-CN"/>
              </w:rPr>
              <w:t>2</w:t>
            </w:r>
            <w:r>
              <w:rPr>
                <w:rFonts w:hint="eastAsia" w:ascii="宋体" w:hAnsi="宋体" w:eastAsia="宋体" w:cs="宋体"/>
                <w:spacing w:val="-3"/>
                <w:sz w:val="21"/>
                <w:szCs w:val="21"/>
                <w:lang w:eastAsia="zh-CN"/>
              </w:rPr>
              <w:t>）</w:t>
            </w:r>
          </w:p>
        </w:tc>
        <w:tc>
          <w:tcPr>
            <w:tcW w:w="1298" w:type="dxa"/>
            <w:vMerge w:val="restart"/>
            <w:vAlign w:val="center"/>
          </w:tcPr>
          <w:p w14:paraId="7665F95C">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3"/>
                <w:sz w:val="21"/>
                <w:szCs w:val="21"/>
                <w:lang w:eastAsia="zh-CN"/>
              </w:rPr>
            </w:pPr>
            <w:r>
              <w:rPr>
                <w:rFonts w:hint="eastAsia" w:cs="宋体"/>
                <w:spacing w:val="-3"/>
                <w:sz w:val="21"/>
                <w:szCs w:val="21"/>
                <w:lang w:eastAsia="zh-CN"/>
              </w:rPr>
              <w:t>修复</w:t>
            </w:r>
            <w:r>
              <w:rPr>
                <w:rFonts w:hint="eastAsia" w:ascii="宋体" w:hAnsi="宋体" w:eastAsia="宋体" w:cs="宋体"/>
                <w:spacing w:val="-3"/>
                <w:sz w:val="21"/>
                <w:szCs w:val="21"/>
                <w:lang w:eastAsia="zh-CN"/>
              </w:rPr>
              <w:t>后（hm</w:t>
            </w:r>
            <w:r>
              <w:rPr>
                <w:rFonts w:hint="eastAsia" w:ascii="宋体" w:hAnsi="宋体" w:eastAsia="宋体" w:cs="宋体"/>
                <w:spacing w:val="-3"/>
                <w:sz w:val="21"/>
                <w:szCs w:val="21"/>
                <w:vertAlign w:val="superscript"/>
                <w:lang w:eastAsia="zh-CN"/>
              </w:rPr>
              <w:t>2</w:t>
            </w:r>
            <w:r>
              <w:rPr>
                <w:rFonts w:hint="eastAsia" w:ascii="宋体" w:hAnsi="宋体" w:eastAsia="宋体" w:cs="宋体"/>
                <w:spacing w:val="-3"/>
                <w:sz w:val="21"/>
                <w:szCs w:val="21"/>
                <w:lang w:eastAsia="zh-CN"/>
              </w:rPr>
              <w:t>）</w:t>
            </w:r>
          </w:p>
        </w:tc>
      </w:tr>
      <w:tr w14:paraId="6C8AD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919" w:type="dxa"/>
            <w:vAlign w:val="center"/>
          </w:tcPr>
          <w:p w14:paraId="74FCE209">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编号</w:t>
            </w:r>
          </w:p>
        </w:tc>
        <w:tc>
          <w:tcPr>
            <w:tcW w:w="1744" w:type="dxa"/>
            <w:vAlign w:val="center"/>
          </w:tcPr>
          <w:p w14:paraId="247878CB">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名称</w:t>
            </w:r>
          </w:p>
        </w:tc>
        <w:tc>
          <w:tcPr>
            <w:tcW w:w="990" w:type="dxa"/>
            <w:vAlign w:val="center"/>
          </w:tcPr>
          <w:p w14:paraId="3CBED199">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编号</w:t>
            </w:r>
          </w:p>
        </w:tc>
        <w:tc>
          <w:tcPr>
            <w:tcW w:w="1417" w:type="dxa"/>
            <w:vAlign w:val="center"/>
          </w:tcPr>
          <w:p w14:paraId="7F7BA9DA">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r>
              <w:rPr>
                <w:rFonts w:hint="eastAsia" w:ascii="宋体" w:hAnsi="宋体" w:eastAsia="宋体" w:cs="宋体"/>
                <w:spacing w:val="-5"/>
                <w:sz w:val="21"/>
                <w:szCs w:val="21"/>
              </w:rPr>
              <w:t>名称</w:t>
            </w:r>
          </w:p>
        </w:tc>
        <w:tc>
          <w:tcPr>
            <w:tcW w:w="1698" w:type="dxa"/>
            <w:vMerge w:val="continue"/>
            <w:vAlign w:val="center"/>
          </w:tcPr>
          <w:p w14:paraId="46301724">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p>
        </w:tc>
        <w:tc>
          <w:tcPr>
            <w:tcW w:w="1298" w:type="dxa"/>
            <w:vMerge w:val="continue"/>
            <w:vAlign w:val="center"/>
          </w:tcPr>
          <w:p w14:paraId="3DF49F2A">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z w:val="21"/>
                <w:szCs w:val="21"/>
              </w:rPr>
            </w:pPr>
          </w:p>
        </w:tc>
      </w:tr>
      <w:tr w14:paraId="36D69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19" w:type="dxa"/>
            <w:vAlign w:val="center"/>
          </w:tcPr>
          <w:p w14:paraId="2519D9BC">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5"/>
                <w:sz w:val="21"/>
                <w:szCs w:val="21"/>
                <w:lang w:eastAsia="zh-CN"/>
              </w:rPr>
            </w:pPr>
            <w:r>
              <w:rPr>
                <w:rFonts w:hint="eastAsia" w:ascii="宋体" w:hAnsi="宋体" w:eastAsia="宋体" w:cs="宋体"/>
                <w:spacing w:val="-5"/>
                <w:sz w:val="21"/>
                <w:szCs w:val="21"/>
                <w:lang w:eastAsia="zh-CN"/>
              </w:rPr>
              <w:t>06</w:t>
            </w:r>
          </w:p>
        </w:tc>
        <w:tc>
          <w:tcPr>
            <w:tcW w:w="1744" w:type="dxa"/>
            <w:vAlign w:val="center"/>
          </w:tcPr>
          <w:p w14:paraId="6BC2C375">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5"/>
                <w:sz w:val="21"/>
                <w:szCs w:val="21"/>
                <w:lang w:eastAsia="zh-CN"/>
              </w:rPr>
            </w:pPr>
            <w:r>
              <w:rPr>
                <w:rFonts w:hint="eastAsia" w:ascii="宋体" w:hAnsi="宋体" w:eastAsia="宋体" w:cs="宋体"/>
                <w:spacing w:val="-5"/>
                <w:sz w:val="21"/>
                <w:szCs w:val="21"/>
                <w:lang w:eastAsia="zh-CN"/>
              </w:rPr>
              <w:t>工矿用地</w:t>
            </w:r>
          </w:p>
        </w:tc>
        <w:tc>
          <w:tcPr>
            <w:tcW w:w="990" w:type="dxa"/>
            <w:vAlign w:val="center"/>
          </w:tcPr>
          <w:p w14:paraId="29D14841">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5"/>
                <w:sz w:val="21"/>
                <w:szCs w:val="21"/>
                <w:lang w:eastAsia="zh-CN"/>
              </w:rPr>
            </w:pPr>
            <w:r>
              <w:rPr>
                <w:rFonts w:hint="eastAsia" w:ascii="宋体" w:hAnsi="宋体" w:eastAsia="宋体" w:cs="宋体"/>
                <w:spacing w:val="-5"/>
                <w:sz w:val="21"/>
                <w:szCs w:val="21"/>
                <w:lang w:eastAsia="zh-CN"/>
              </w:rPr>
              <w:t>0602</w:t>
            </w:r>
          </w:p>
        </w:tc>
        <w:tc>
          <w:tcPr>
            <w:tcW w:w="1417" w:type="dxa"/>
            <w:vAlign w:val="center"/>
          </w:tcPr>
          <w:p w14:paraId="5CCDBD0E">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5"/>
                <w:sz w:val="21"/>
                <w:szCs w:val="21"/>
                <w:lang w:eastAsia="zh-CN"/>
              </w:rPr>
            </w:pPr>
            <w:r>
              <w:rPr>
                <w:rFonts w:hint="eastAsia" w:ascii="宋体" w:hAnsi="宋体" w:eastAsia="宋体" w:cs="宋体"/>
                <w:spacing w:val="-5"/>
                <w:sz w:val="21"/>
                <w:szCs w:val="21"/>
                <w:lang w:eastAsia="zh-CN"/>
              </w:rPr>
              <w:t>采矿用地</w:t>
            </w:r>
          </w:p>
        </w:tc>
        <w:tc>
          <w:tcPr>
            <w:tcW w:w="1698" w:type="dxa"/>
            <w:vAlign w:val="center"/>
          </w:tcPr>
          <w:p w14:paraId="5BDA9AF3">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4.23</w:t>
            </w:r>
          </w:p>
        </w:tc>
        <w:tc>
          <w:tcPr>
            <w:tcW w:w="1298" w:type="dxa"/>
            <w:vAlign w:val="center"/>
          </w:tcPr>
          <w:p w14:paraId="6C774673">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14:paraId="6C36C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19" w:type="dxa"/>
            <w:vAlign w:val="center"/>
          </w:tcPr>
          <w:p w14:paraId="60BA5C97">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default" w:ascii="宋体" w:hAnsi="宋体" w:eastAsia="宋体" w:cs="宋体"/>
                <w:spacing w:val="-5"/>
                <w:sz w:val="21"/>
                <w:szCs w:val="21"/>
                <w:lang w:val="en-US"/>
              </w:rPr>
            </w:pPr>
            <w:r>
              <w:rPr>
                <w:rFonts w:hint="eastAsia" w:cs="宋体"/>
                <w:spacing w:val="-3"/>
                <w:sz w:val="21"/>
                <w:szCs w:val="21"/>
                <w:lang w:val="en-US" w:eastAsia="zh-CN"/>
              </w:rPr>
              <w:t>10</w:t>
            </w:r>
          </w:p>
        </w:tc>
        <w:tc>
          <w:tcPr>
            <w:tcW w:w="1744" w:type="dxa"/>
            <w:vAlign w:val="center"/>
          </w:tcPr>
          <w:p w14:paraId="687F0663">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5"/>
                <w:sz w:val="21"/>
                <w:szCs w:val="21"/>
              </w:rPr>
            </w:pPr>
            <w:r>
              <w:rPr>
                <w:rFonts w:hint="eastAsia" w:cs="宋体"/>
                <w:spacing w:val="-3"/>
                <w:sz w:val="21"/>
                <w:szCs w:val="21"/>
                <w:lang w:eastAsia="zh-CN"/>
              </w:rPr>
              <w:t>交通运输用地</w:t>
            </w:r>
          </w:p>
        </w:tc>
        <w:tc>
          <w:tcPr>
            <w:tcW w:w="990" w:type="dxa"/>
            <w:vAlign w:val="center"/>
          </w:tcPr>
          <w:p w14:paraId="6C24F5A1">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default" w:ascii="宋体" w:hAnsi="宋体" w:eastAsia="宋体" w:cs="宋体"/>
                <w:spacing w:val="-5"/>
                <w:sz w:val="21"/>
                <w:szCs w:val="21"/>
                <w:lang w:val="en-US" w:eastAsia="zh-CN"/>
              </w:rPr>
            </w:pPr>
            <w:r>
              <w:rPr>
                <w:rFonts w:hint="eastAsia" w:cs="宋体"/>
                <w:spacing w:val="-5"/>
                <w:sz w:val="21"/>
                <w:szCs w:val="21"/>
                <w:lang w:val="en-US" w:eastAsia="zh-CN"/>
              </w:rPr>
              <w:t>1006</w:t>
            </w:r>
          </w:p>
        </w:tc>
        <w:tc>
          <w:tcPr>
            <w:tcW w:w="1417" w:type="dxa"/>
            <w:vAlign w:val="center"/>
          </w:tcPr>
          <w:p w14:paraId="60F01061">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5"/>
                <w:sz w:val="21"/>
                <w:szCs w:val="21"/>
              </w:rPr>
            </w:pPr>
            <w:r>
              <w:rPr>
                <w:rFonts w:hint="eastAsia" w:cs="宋体"/>
                <w:spacing w:val="-3"/>
                <w:sz w:val="21"/>
                <w:szCs w:val="21"/>
                <w:lang w:eastAsia="zh-CN"/>
              </w:rPr>
              <w:t>农村道路</w:t>
            </w:r>
          </w:p>
        </w:tc>
        <w:tc>
          <w:tcPr>
            <w:tcW w:w="1698" w:type="dxa"/>
            <w:vAlign w:val="center"/>
          </w:tcPr>
          <w:p w14:paraId="74B152D8">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0.08</w:t>
            </w:r>
          </w:p>
        </w:tc>
        <w:tc>
          <w:tcPr>
            <w:tcW w:w="1298" w:type="dxa"/>
            <w:vAlign w:val="center"/>
          </w:tcPr>
          <w:p w14:paraId="51C4211A">
            <w:pPr>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14:paraId="5ECAA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19" w:type="dxa"/>
            <w:vAlign w:val="center"/>
          </w:tcPr>
          <w:p w14:paraId="0D7170B5">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3"/>
                <w:sz w:val="21"/>
                <w:szCs w:val="21"/>
                <w:lang w:eastAsia="zh-CN"/>
              </w:rPr>
            </w:pPr>
            <w:r>
              <w:rPr>
                <w:rFonts w:hint="eastAsia" w:ascii="宋体" w:hAnsi="宋体" w:eastAsia="宋体" w:cs="宋体"/>
                <w:spacing w:val="-3"/>
                <w:sz w:val="21"/>
                <w:szCs w:val="21"/>
                <w:lang w:eastAsia="zh-CN"/>
              </w:rPr>
              <w:t>12</w:t>
            </w:r>
          </w:p>
        </w:tc>
        <w:tc>
          <w:tcPr>
            <w:tcW w:w="1744" w:type="dxa"/>
            <w:vAlign w:val="center"/>
          </w:tcPr>
          <w:p w14:paraId="53FD9669">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3"/>
                <w:sz w:val="21"/>
                <w:szCs w:val="21"/>
                <w:lang w:eastAsia="zh-CN"/>
              </w:rPr>
            </w:pPr>
            <w:r>
              <w:rPr>
                <w:rFonts w:hint="eastAsia" w:ascii="宋体" w:hAnsi="宋体" w:eastAsia="宋体" w:cs="宋体"/>
                <w:spacing w:val="-3"/>
                <w:sz w:val="21"/>
                <w:szCs w:val="21"/>
                <w:lang w:eastAsia="zh-CN"/>
              </w:rPr>
              <w:t>其他土地</w:t>
            </w:r>
          </w:p>
        </w:tc>
        <w:tc>
          <w:tcPr>
            <w:tcW w:w="990" w:type="dxa"/>
            <w:vAlign w:val="center"/>
          </w:tcPr>
          <w:p w14:paraId="42801F00">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default" w:ascii="宋体" w:hAnsi="宋体" w:eastAsia="宋体" w:cs="宋体"/>
                <w:spacing w:val="-3"/>
                <w:sz w:val="21"/>
                <w:szCs w:val="21"/>
                <w:lang w:val="en-US" w:eastAsia="zh-CN"/>
              </w:rPr>
            </w:pPr>
            <w:r>
              <w:rPr>
                <w:rFonts w:hint="eastAsia" w:ascii="宋体" w:hAnsi="宋体" w:eastAsia="宋体" w:cs="宋体"/>
                <w:spacing w:val="-3"/>
                <w:sz w:val="21"/>
                <w:szCs w:val="21"/>
                <w:lang w:eastAsia="zh-CN"/>
              </w:rPr>
              <w:t>12</w:t>
            </w:r>
            <w:r>
              <w:rPr>
                <w:rFonts w:hint="eastAsia" w:cs="宋体"/>
                <w:spacing w:val="-3"/>
                <w:sz w:val="21"/>
                <w:szCs w:val="21"/>
                <w:lang w:val="en-US" w:eastAsia="zh-CN"/>
              </w:rPr>
              <w:t>05</w:t>
            </w:r>
          </w:p>
        </w:tc>
        <w:tc>
          <w:tcPr>
            <w:tcW w:w="1417" w:type="dxa"/>
            <w:vAlign w:val="center"/>
          </w:tcPr>
          <w:p w14:paraId="48320935">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eastAsia" w:ascii="宋体" w:hAnsi="宋体" w:eastAsia="宋体" w:cs="宋体"/>
                <w:spacing w:val="-3"/>
                <w:sz w:val="21"/>
                <w:szCs w:val="21"/>
                <w:lang w:eastAsia="zh-CN"/>
              </w:rPr>
            </w:pPr>
            <w:r>
              <w:rPr>
                <w:rFonts w:hint="eastAsia" w:cs="宋体"/>
                <w:spacing w:val="-3"/>
                <w:sz w:val="21"/>
                <w:szCs w:val="21"/>
                <w:lang w:eastAsia="zh-CN"/>
              </w:rPr>
              <w:t>沙地</w:t>
            </w:r>
          </w:p>
        </w:tc>
        <w:tc>
          <w:tcPr>
            <w:tcW w:w="1698" w:type="dxa"/>
            <w:vAlign w:val="center"/>
          </w:tcPr>
          <w:p w14:paraId="429817A9">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default" w:ascii="宋体" w:hAnsi="宋体" w:eastAsia="宋体" w:cs="宋体"/>
                <w:spacing w:val="-3"/>
                <w:sz w:val="21"/>
                <w:szCs w:val="21"/>
                <w:lang w:val="en-US" w:eastAsia="zh-CN"/>
              </w:rPr>
            </w:pPr>
            <w:r>
              <w:rPr>
                <w:rFonts w:hint="eastAsia" w:cs="宋体"/>
                <w:spacing w:val="-3"/>
                <w:sz w:val="21"/>
                <w:szCs w:val="21"/>
                <w:lang w:val="en-US" w:eastAsia="zh-CN"/>
              </w:rPr>
              <w:t>100.16</w:t>
            </w:r>
          </w:p>
        </w:tc>
        <w:tc>
          <w:tcPr>
            <w:tcW w:w="1298" w:type="dxa"/>
            <w:vAlign w:val="center"/>
          </w:tcPr>
          <w:p w14:paraId="5FD08D54">
            <w:pPr>
              <w:pStyle w:val="23"/>
              <w:keepNext w:val="0"/>
              <w:keepLines w:val="0"/>
              <w:pageBreakBefore w:val="0"/>
              <w:widowControl w:val="0"/>
              <w:kinsoku/>
              <w:wordWrap/>
              <w:overflowPunct/>
              <w:topLinePunct w:val="0"/>
              <w:autoSpaceDE w:val="0"/>
              <w:autoSpaceDN w:val="0"/>
              <w:bidi w:val="0"/>
              <w:adjustRightInd/>
              <w:snapToGrid/>
              <w:spacing w:line="240" w:lineRule="auto"/>
              <w:ind w:left="0" w:firstLine="0" w:firstLineChars="0"/>
              <w:jc w:val="center"/>
              <w:textAlignment w:val="baseline"/>
              <w:rPr>
                <w:rFonts w:hint="default" w:ascii="宋体" w:hAnsi="宋体" w:eastAsia="宋体" w:cs="宋体"/>
                <w:spacing w:val="-3"/>
                <w:sz w:val="21"/>
                <w:szCs w:val="21"/>
                <w:lang w:val="en-US" w:eastAsia="zh-CN"/>
              </w:rPr>
            </w:pPr>
            <w:r>
              <w:rPr>
                <w:rFonts w:hint="eastAsia" w:cs="宋体"/>
                <w:spacing w:val="-3"/>
                <w:sz w:val="21"/>
                <w:szCs w:val="21"/>
                <w:lang w:val="en-US" w:eastAsia="zh-CN"/>
              </w:rPr>
              <w:t>100.16</w:t>
            </w:r>
          </w:p>
        </w:tc>
      </w:tr>
    </w:tbl>
    <w:p w14:paraId="209BF08D">
      <w:pPr>
        <w:spacing w:before="3" w:line="227" w:lineRule="auto"/>
        <w:jc w:val="center"/>
        <w:rPr>
          <w:rFonts w:hint="eastAsia" w:ascii="宋体" w:hAnsi="宋体" w:eastAsia="宋体" w:cs="宋体"/>
          <w:b/>
          <w:bCs/>
          <w:spacing w:val="6"/>
          <w:sz w:val="21"/>
          <w:szCs w:val="21"/>
          <w:lang w:eastAsia="zh-CN"/>
        </w:rPr>
      </w:pPr>
      <w:r>
        <w:rPr>
          <w:rFonts w:hint="eastAsia" w:ascii="宋体" w:hAnsi="宋体" w:eastAsia="宋体" w:cs="宋体"/>
          <w:b/>
          <w:bCs/>
          <w:spacing w:val="6"/>
          <w:sz w:val="21"/>
          <w:szCs w:val="21"/>
          <w:lang w:eastAsia="zh-CN"/>
        </w:rPr>
        <w:t>表4-5  矿区生态修复工程量统计表</w:t>
      </w:r>
    </w:p>
    <w:tbl>
      <w:tblPr>
        <w:tblStyle w:val="22"/>
        <w:tblW w:w="800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995"/>
        <w:gridCol w:w="762"/>
        <w:gridCol w:w="1334"/>
        <w:gridCol w:w="3268"/>
      </w:tblGrid>
      <w:tr w14:paraId="3CAC1C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41" w:type="dxa"/>
            <w:vAlign w:val="center"/>
          </w:tcPr>
          <w:p w14:paraId="19681290">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序号</w:t>
            </w:r>
          </w:p>
        </w:tc>
        <w:tc>
          <w:tcPr>
            <w:tcW w:w="1995" w:type="dxa"/>
            <w:vAlign w:val="center"/>
          </w:tcPr>
          <w:p w14:paraId="489CE0C6">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工程类别</w:t>
            </w:r>
          </w:p>
        </w:tc>
        <w:tc>
          <w:tcPr>
            <w:tcW w:w="762" w:type="dxa"/>
            <w:vAlign w:val="center"/>
          </w:tcPr>
          <w:p w14:paraId="4567EA31">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rPr>
            </w:pPr>
            <w:r>
              <w:rPr>
                <w:rFonts w:hint="eastAsia" w:ascii="宋体" w:hAnsi="宋体" w:eastAsia="宋体" w:cs="宋体"/>
                <w:spacing w:val="1"/>
                <w:sz w:val="21"/>
                <w:szCs w:val="21"/>
              </w:rPr>
              <w:t>单位</w:t>
            </w:r>
          </w:p>
        </w:tc>
        <w:tc>
          <w:tcPr>
            <w:tcW w:w="1334" w:type="dxa"/>
            <w:vAlign w:val="center"/>
          </w:tcPr>
          <w:p w14:paraId="3E90209C">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rPr>
            </w:pPr>
            <w:r>
              <w:rPr>
                <w:rFonts w:hint="eastAsia" w:ascii="宋体" w:hAnsi="宋体" w:eastAsia="宋体" w:cs="宋体"/>
                <w:spacing w:val="1"/>
                <w:sz w:val="21"/>
                <w:szCs w:val="21"/>
              </w:rPr>
              <w:t>工程量</w:t>
            </w:r>
          </w:p>
        </w:tc>
        <w:tc>
          <w:tcPr>
            <w:tcW w:w="3268" w:type="dxa"/>
            <w:vAlign w:val="center"/>
          </w:tcPr>
          <w:p w14:paraId="3A3FCD19">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rPr>
            </w:pPr>
            <w:r>
              <w:rPr>
                <w:rFonts w:hint="eastAsia" w:ascii="宋体" w:hAnsi="宋体" w:eastAsia="宋体" w:cs="宋体"/>
                <w:spacing w:val="1"/>
                <w:sz w:val="21"/>
                <w:szCs w:val="21"/>
              </w:rPr>
              <w:t>备注</w:t>
            </w:r>
          </w:p>
        </w:tc>
      </w:tr>
      <w:tr w14:paraId="16259D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41" w:type="dxa"/>
            <w:vAlign w:val="center"/>
          </w:tcPr>
          <w:p w14:paraId="31CACA4D">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一</w:t>
            </w:r>
          </w:p>
        </w:tc>
        <w:tc>
          <w:tcPr>
            <w:tcW w:w="1995" w:type="dxa"/>
            <w:vAlign w:val="center"/>
          </w:tcPr>
          <w:p w14:paraId="4BBFC3DD">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z w:val="21"/>
                <w:szCs w:val="21"/>
                <w:lang w:eastAsia="zh-CN"/>
              </w:rPr>
            </w:pPr>
            <w:r>
              <w:rPr>
                <w:rFonts w:hint="eastAsia" w:ascii="宋体" w:hAnsi="宋体" w:eastAsia="宋体" w:cs="宋体"/>
                <w:b/>
                <w:bCs/>
                <w:spacing w:val="2"/>
                <w:sz w:val="21"/>
                <w:szCs w:val="21"/>
              </w:rPr>
              <w:t>地貌重塑</w:t>
            </w:r>
            <w:r>
              <w:rPr>
                <w:rFonts w:hint="eastAsia" w:ascii="宋体" w:hAnsi="宋体" w:eastAsia="宋体" w:cs="宋体"/>
                <w:b/>
                <w:bCs/>
                <w:spacing w:val="2"/>
                <w:sz w:val="21"/>
                <w:szCs w:val="21"/>
                <w:lang w:eastAsia="zh-CN"/>
              </w:rPr>
              <w:t>工程</w:t>
            </w:r>
          </w:p>
        </w:tc>
        <w:tc>
          <w:tcPr>
            <w:tcW w:w="762" w:type="dxa"/>
            <w:vAlign w:val="center"/>
          </w:tcPr>
          <w:p w14:paraId="16C9D19A">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rPr>
            </w:pPr>
          </w:p>
        </w:tc>
        <w:tc>
          <w:tcPr>
            <w:tcW w:w="1334" w:type="dxa"/>
            <w:vAlign w:val="center"/>
          </w:tcPr>
          <w:p w14:paraId="577AAC07">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rPr>
            </w:pPr>
          </w:p>
        </w:tc>
        <w:tc>
          <w:tcPr>
            <w:tcW w:w="3268" w:type="dxa"/>
            <w:vAlign w:val="center"/>
          </w:tcPr>
          <w:p w14:paraId="18267365">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rPr>
            </w:pPr>
          </w:p>
        </w:tc>
      </w:tr>
      <w:tr w14:paraId="1F58D2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41" w:type="dxa"/>
            <w:vAlign w:val="center"/>
          </w:tcPr>
          <w:p w14:paraId="3C280B00">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2"/>
                <w:sz w:val="21"/>
                <w:szCs w:val="21"/>
              </w:rPr>
            </w:pPr>
            <w:r>
              <w:rPr>
                <w:rFonts w:hint="eastAsia" w:ascii="宋体" w:hAnsi="宋体" w:eastAsia="宋体" w:cs="宋体"/>
                <w:spacing w:val="2"/>
                <w:sz w:val="21"/>
                <w:szCs w:val="21"/>
              </w:rPr>
              <w:t>1</w:t>
            </w:r>
          </w:p>
        </w:tc>
        <w:tc>
          <w:tcPr>
            <w:tcW w:w="1995" w:type="dxa"/>
            <w:vAlign w:val="center"/>
          </w:tcPr>
          <w:p w14:paraId="673AD58A">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z w:val="21"/>
                <w:szCs w:val="21"/>
                <w:lang w:eastAsia="zh-CN"/>
              </w:rPr>
            </w:pPr>
            <w:r>
              <w:rPr>
                <w:rFonts w:hint="eastAsia" w:ascii="宋体" w:hAnsi="宋体" w:eastAsia="宋体" w:cs="宋体"/>
                <w:spacing w:val="4"/>
                <w:sz w:val="21"/>
                <w:szCs w:val="21"/>
                <w:lang w:eastAsia="zh-CN"/>
              </w:rPr>
              <w:t>清理风成沙及坡积物</w:t>
            </w:r>
          </w:p>
        </w:tc>
        <w:tc>
          <w:tcPr>
            <w:tcW w:w="762" w:type="dxa"/>
            <w:vAlign w:val="center"/>
          </w:tcPr>
          <w:p w14:paraId="571F0777">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lang w:eastAsia="zh-CN"/>
              </w:rPr>
            </w:pPr>
            <w:r>
              <w:rPr>
                <w:rFonts w:hint="eastAsia" w:ascii="宋体" w:hAnsi="宋体" w:eastAsia="宋体" w:cs="宋体"/>
                <w:spacing w:val="1"/>
                <w:sz w:val="21"/>
                <w:szCs w:val="21"/>
                <w:lang w:eastAsia="zh-CN"/>
              </w:rPr>
              <w:t>m</w:t>
            </w:r>
            <w:r>
              <w:rPr>
                <w:rFonts w:hint="eastAsia" w:ascii="宋体" w:hAnsi="宋体" w:eastAsia="宋体" w:cs="宋体"/>
                <w:spacing w:val="1"/>
                <w:sz w:val="21"/>
                <w:szCs w:val="21"/>
                <w:vertAlign w:val="superscript"/>
                <w:lang w:eastAsia="zh-CN"/>
              </w:rPr>
              <w:t>3</w:t>
            </w:r>
          </w:p>
        </w:tc>
        <w:tc>
          <w:tcPr>
            <w:tcW w:w="1334" w:type="dxa"/>
            <w:vAlign w:val="center"/>
          </w:tcPr>
          <w:p w14:paraId="5C6E557E">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baseline"/>
              <w:rPr>
                <w:rFonts w:hint="eastAsia" w:ascii="宋体" w:hAnsi="宋体" w:eastAsia="宋体" w:cs="宋体"/>
                <w:spacing w:val="1"/>
                <w:sz w:val="21"/>
                <w:szCs w:val="21"/>
                <w:lang w:eastAsia="zh-CN"/>
              </w:rPr>
            </w:pPr>
            <w:r>
              <w:rPr>
                <w:rFonts w:hint="eastAsia" w:ascii="宋体" w:hAnsi="宋体" w:eastAsia="宋体" w:cs="宋体"/>
                <w:spacing w:val="3"/>
                <w:sz w:val="21"/>
                <w:szCs w:val="21"/>
                <w:lang w:val="en-US" w:eastAsia="zh-CN"/>
              </w:rPr>
              <w:t>6465.8</w:t>
            </w:r>
            <w:r>
              <w:rPr>
                <w:rFonts w:hint="eastAsia" w:ascii="宋体" w:hAnsi="宋体" w:eastAsia="宋体" w:cs="宋体"/>
                <w:spacing w:val="3"/>
                <w:sz w:val="21"/>
                <w:szCs w:val="21"/>
              </w:rPr>
              <w:t>m</w:t>
            </w:r>
            <w:r>
              <w:rPr>
                <w:rFonts w:hint="eastAsia" w:ascii="宋体" w:hAnsi="宋体" w:eastAsia="宋体" w:cs="宋体"/>
                <w:spacing w:val="3"/>
                <w:sz w:val="21"/>
                <w:szCs w:val="21"/>
                <w:vertAlign w:val="superscript"/>
                <w:lang w:val="en-US" w:eastAsia="zh-CN"/>
              </w:rPr>
              <w:t>3</w:t>
            </w:r>
          </w:p>
        </w:tc>
        <w:tc>
          <w:tcPr>
            <w:tcW w:w="3268" w:type="dxa"/>
            <w:vAlign w:val="center"/>
          </w:tcPr>
          <w:p w14:paraId="0FD2A6E2">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lang w:eastAsia="zh-CN"/>
              </w:rPr>
            </w:pPr>
            <w:r>
              <w:rPr>
                <w:rFonts w:hint="eastAsia" w:ascii="宋体" w:hAnsi="宋体" w:eastAsia="宋体" w:cs="宋体"/>
                <w:spacing w:val="1"/>
                <w:sz w:val="21"/>
                <w:szCs w:val="21"/>
                <w:lang w:eastAsia="zh-CN"/>
              </w:rPr>
              <w:t>清理厚度0.2m</w:t>
            </w:r>
          </w:p>
        </w:tc>
      </w:tr>
      <w:tr w14:paraId="4371E3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41" w:type="dxa"/>
            <w:vAlign w:val="center"/>
          </w:tcPr>
          <w:p w14:paraId="2DA3182A">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2"/>
                <w:sz w:val="21"/>
                <w:szCs w:val="21"/>
                <w:lang w:eastAsia="zh-CN"/>
              </w:rPr>
            </w:pPr>
            <w:r>
              <w:rPr>
                <w:rFonts w:hint="eastAsia" w:ascii="宋体" w:hAnsi="宋体" w:eastAsia="宋体" w:cs="宋体"/>
                <w:spacing w:val="2"/>
                <w:sz w:val="21"/>
                <w:szCs w:val="21"/>
                <w:lang w:eastAsia="zh-CN"/>
              </w:rPr>
              <w:t>二</w:t>
            </w:r>
          </w:p>
        </w:tc>
        <w:tc>
          <w:tcPr>
            <w:tcW w:w="1995" w:type="dxa"/>
            <w:vAlign w:val="center"/>
          </w:tcPr>
          <w:p w14:paraId="64E2DE72">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4"/>
                <w:sz w:val="21"/>
                <w:szCs w:val="21"/>
                <w:lang w:eastAsia="zh-CN"/>
              </w:rPr>
            </w:pPr>
            <w:r>
              <w:rPr>
                <w:rFonts w:hint="eastAsia" w:cs="宋体"/>
                <w:spacing w:val="4"/>
                <w:sz w:val="21"/>
                <w:szCs w:val="21"/>
                <w:lang w:eastAsia="zh-CN"/>
              </w:rPr>
              <w:t>生态修复</w:t>
            </w:r>
            <w:r>
              <w:rPr>
                <w:rFonts w:hint="eastAsia" w:ascii="宋体" w:hAnsi="宋体" w:eastAsia="宋体" w:cs="宋体"/>
                <w:spacing w:val="4"/>
                <w:sz w:val="21"/>
                <w:szCs w:val="21"/>
                <w:lang w:eastAsia="zh-CN"/>
              </w:rPr>
              <w:t>工程</w:t>
            </w:r>
          </w:p>
        </w:tc>
        <w:tc>
          <w:tcPr>
            <w:tcW w:w="762" w:type="dxa"/>
            <w:vAlign w:val="center"/>
          </w:tcPr>
          <w:p w14:paraId="6E7C976C">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lang w:eastAsia="zh-CN"/>
              </w:rPr>
            </w:pPr>
          </w:p>
        </w:tc>
        <w:tc>
          <w:tcPr>
            <w:tcW w:w="1334" w:type="dxa"/>
            <w:vAlign w:val="center"/>
          </w:tcPr>
          <w:p w14:paraId="3CCA0C89">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baseline"/>
              <w:rPr>
                <w:rFonts w:hint="eastAsia" w:ascii="宋体" w:hAnsi="宋体" w:eastAsia="宋体" w:cs="宋体"/>
                <w:spacing w:val="2"/>
                <w:sz w:val="21"/>
                <w:szCs w:val="21"/>
                <w:lang w:eastAsia="zh-CN"/>
              </w:rPr>
            </w:pPr>
          </w:p>
        </w:tc>
        <w:tc>
          <w:tcPr>
            <w:tcW w:w="3268" w:type="dxa"/>
            <w:vAlign w:val="center"/>
          </w:tcPr>
          <w:p w14:paraId="2E4FB8D1">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rPr>
            </w:pPr>
          </w:p>
        </w:tc>
      </w:tr>
      <w:tr w14:paraId="068680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41" w:type="dxa"/>
            <w:vAlign w:val="center"/>
          </w:tcPr>
          <w:p w14:paraId="03361F5C">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2"/>
                <w:sz w:val="21"/>
                <w:szCs w:val="21"/>
                <w:lang w:eastAsia="zh-CN"/>
              </w:rPr>
            </w:pPr>
            <w:r>
              <w:rPr>
                <w:rFonts w:hint="eastAsia" w:ascii="宋体" w:hAnsi="宋体" w:eastAsia="宋体" w:cs="宋体"/>
                <w:spacing w:val="2"/>
                <w:sz w:val="21"/>
                <w:szCs w:val="21"/>
                <w:lang w:eastAsia="zh-CN"/>
              </w:rPr>
              <w:t>1</w:t>
            </w:r>
          </w:p>
        </w:tc>
        <w:tc>
          <w:tcPr>
            <w:tcW w:w="1995" w:type="dxa"/>
            <w:vAlign w:val="center"/>
          </w:tcPr>
          <w:p w14:paraId="4E5DC2AB">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4"/>
                <w:sz w:val="21"/>
                <w:szCs w:val="21"/>
                <w:lang w:eastAsia="zh-CN"/>
              </w:rPr>
            </w:pPr>
            <w:r>
              <w:rPr>
                <w:rFonts w:hint="eastAsia" w:ascii="宋体" w:hAnsi="宋体" w:eastAsia="宋体" w:cs="宋体"/>
                <w:spacing w:val="4"/>
                <w:sz w:val="21"/>
                <w:szCs w:val="21"/>
                <w:lang w:eastAsia="zh-CN"/>
              </w:rPr>
              <w:t>砖混拆除</w:t>
            </w:r>
          </w:p>
        </w:tc>
        <w:tc>
          <w:tcPr>
            <w:tcW w:w="762" w:type="dxa"/>
            <w:vAlign w:val="center"/>
          </w:tcPr>
          <w:p w14:paraId="7E020771">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rPr>
            </w:pPr>
            <w:r>
              <w:rPr>
                <w:rFonts w:hint="eastAsia" w:ascii="宋体" w:hAnsi="宋体" w:eastAsia="宋体" w:cs="宋体"/>
                <w:spacing w:val="1"/>
                <w:sz w:val="21"/>
                <w:szCs w:val="21"/>
                <w:lang w:eastAsia="zh-CN"/>
              </w:rPr>
              <w:t>m</w:t>
            </w:r>
            <w:r>
              <w:rPr>
                <w:rFonts w:hint="eastAsia" w:ascii="宋体" w:hAnsi="宋体" w:eastAsia="宋体" w:cs="宋体"/>
                <w:spacing w:val="1"/>
                <w:sz w:val="21"/>
                <w:szCs w:val="21"/>
                <w:vertAlign w:val="superscript"/>
                <w:lang w:eastAsia="zh-CN"/>
              </w:rPr>
              <w:t>3</w:t>
            </w:r>
          </w:p>
        </w:tc>
        <w:tc>
          <w:tcPr>
            <w:tcW w:w="1334" w:type="dxa"/>
            <w:vAlign w:val="center"/>
          </w:tcPr>
          <w:p w14:paraId="2EE46B6B">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baseline"/>
              <w:rPr>
                <w:rFonts w:hint="eastAsia" w:ascii="宋体" w:hAnsi="宋体" w:eastAsia="宋体" w:cs="宋体"/>
                <w:spacing w:val="1"/>
                <w:sz w:val="21"/>
                <w:szCs w:val="21"/>
                <w:lang w:eastAsia="zh-CN"/>
              </w:rPr>
            </w:pPr>
            <w:r>
              <w:rPr>
                <w:rFonts w:hint="eastAsia" w:ascii="宋体" w:hAnsi="宋体" w:eastAsia="宋体" w:cs="宋体"/>
                <w:spacing w:val="2"/>
                <w:sz w:val="21"/>
                <w:szCs w:val="21"/>
                <w:lang w:val="en-US" w:eastAsia="zh-CN"/>
              </w:rPr>
              <w:t>717.0</w:t>
            </w:r>
            <w:r>
              <w:rPr>
                <w:rFonts w:hint="eastAsia" w:ascii="宋体" w:hAnsi="宋体" w:eastAsia="宋体" w:cs="宋体"/>
                <w:spacing w:val="2"/>
                <w:sz w:val="21"/>
                <w:szCs w:val="21"/>
                <w:vertAlign w:val="superscript"/>
              </w:rPr>
              <w:t>m</w:t>
            </w:r>
            <w:r>
              <w:rPr>
                <w:rFonts w:hint="eastAsia" w:ascii="宋体" w:hAnsi="宋体" w:eastAsia="宋体" w:cs="宋体"/>
                <w:spacing w:val="2"/>
                <w:sz w:val="21"/>
                <w:szCs w:val="21"/>
                <w:vertAlign w:val="superscript"/>
                <w:lang w:val="en-US" w:eastAsia="zh-CN"/>
              </w:rPr>
              <w:t>3</w:t>
            </w:r>
          </w:p>
        </w:tc>
        <w:tc>
          <w:tcPr>
            <w:tcW w:w="3268" w:type="dxa"/>
            <w:vAlign w:val="center"/>
          </w:tcPr>
          <w:p w14:paraId="0BF9BAF8">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rPr>
            </w:pPr>
          </w:p>
        </w:tc>
      </w:tr>
      <w:tr w14:paraId="0C4A10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41" w:type="dxa"/>
            <w:vAlign w:val="center"/>
          </w:tcPr>
          <w:p w14:paraId="70F9C89C">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2"/>
                <w:sz w:val="21"/>
                <w:szCs w:val="21"/>
                <w:lang w:eastAsia="zh-CN"/>
              </w:rPr>
            </w:pPr>
            <w:r>
              <w:rPr>
                <w:rFonts w:hint="eastAsia" w:ascii="宋体" w:hAnsi="宋体" w:eastAsia="宋体" w:cs="宋体"/>
                <w:spacing w:val="2"/>
                <w:sz w:val="21"/>
                <w:szCs w:val="21"/>
                <w:lang w:eastAsia="zh-CN"/>
              </w:rPr>
              <w:t>2</w:t>
            </w:r>
          </w:p>
        </w:tc>
        <w:tc>
          <w:tcPr>
            <w:tcW w:w="1995" w:type="dxa"/>
            <w:vAlign w:val="center"/>
          </w:tcPr>
          <w:p w14:paraId="399201E8">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4"/>
                <w:sz w:val="21"/>
                <w:szCs w:val="21"/>
                <w:lang w:eastAsia="zh-CN"/>
              </w:rPr>
            </w:pPr>
            <w:r>
              <w:rPr>
                <w:rFonts w:hint="eastAsia" w:ascii="宋体" w:hAnsi="宋体" w:eastAsia="宋体" w:cs="宋体"/>
                <w:spacing w:val="4"/>
                <w:sz w:val="21"/>
                <w:szCs w:val="21"/>
                <w:lang w:eastAsia="zh-CN"/>
              </w:rPr>
              <w:t>彩钢拆除</w:t>
            </w:r>
          </w:p>
        </w:tc>
        <w:tc>
          <w:tcPr>
            <w:tcW w:w="762" w:type="dxa"/>
            <w:vAlign w:val="center"/>
          </w:tcPr>
          <w:p w14:paraId="315FF73A">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rPr>
            </w:pPr>
            <w:r>
              <w:rPr>
                <w:rFonts w:hint="eastAsia" w:ascii="宋体" w:hAnsi="宋体" w:eastAsia="宋体" w:cs="宋体"/>
                <w:spacing w:val="1"/>
                <w:sz w:val="21"/>
                <w:szCs w:val="21"/>
                <w:lang w:eastAsia="zh-CN"/>
              </w:rPr>
              <w:t>m</w:t>
            </w:r>
            <w:r>
              <w:rPr>
                <w:rFonts w:hint="eastAsia" w:ascii="宋体" w:hAnsi="宋体" w:eastAsia="宋体" w:cs="宋体"/>
                <w:spacing w:val="1"/>
                <w:sz w:val="21"/>
                <w:szCs w:val="21"/>
                <w:vertAlign w:val="superscript"/>
                <w:lang w:eastAsia="zh-CN"/>
              </w:rPr>
              <w:t>3</w:t>
            </w:r>
          </w:p>
        </w:tc>
        <w:tc>
          <w:tcPr>
            <w:tcW w:w="1334" w:type="dxa"/>
            <w:vAlign w:val="center"/>
          </w:tcPr>
          <w:p w14:paraId="499C2CA9">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baseline"/>
              <w:rPr>
                <w:rFonts w:hint="eastAsia" w:ascii="宋体" w:hAnsi="宋体" w:eastAsia="宋体" w:cs="宋体"/>
                <w:spacing w:val="1"/>
                <w:sz w:val="21"/>
                <w:szCs w:val="21"/>
                <w:lang w:eastAsia="zh-CN"/>
              </w:rPr>
            </w:pPr>
            <w:r>
              <w:rPr>
                <w:rFonts w:hint="eastAsia" w:ascii="宋体" w:hAnsi="宋体" w:eastAsia="宋体" w:cs="宋体"/>
                <w:spacing w:val="2"/>
                <w:sz w:val="21"/>
                <w:szCs w:val="21"/>
                <w:lang w:val="en-US" w:eastAsia="zh-CN"/>
              </w:rPr>
              <w:t>1550</w:t>
            </w:r>
            <w:r>
              <w:rPr>
                <w:rFonts w:hint="eastAsia" w:ascii="宋体" w:hAnsi="宋体" w:eastAsia="宋体" w:cs="宋体"/>
                <w:spacing w:val="2"/>
                <w:sz w:val="21"/>
                <w:szCs w:val="21"/>
                <w:lang w:eastAsia="zh-CN"/>
              </w:rPr>
              <w:t>m</w:t>
            </w:r>
            <w:r>
              <w:rPr>
                <w:rFonts w:hint="eastAsia" w:ascii="宋体" w:hAnsi="宋体" w:eastAsia="宋体" w:cs="宋体"/>
                <w:spacing w:val="2"/>
                <w:sz w:val="21"/>
                <w:szCs w:val="21"/>
                <w:vertAlign w:val="superscript"/>
                <w:lang w:eastAsia="zh-CN"/>
              </w:rPr>
              <w:t>3</w:t>
            </w:r>
          </w:p>
        </w:tc>
        <w:tc>
          <w:tcPr>
            <w:tcW w:w="3268" w:type="dxa"/>
            <w:vAlign w:val="center"/>
          </w:tcPr>
          <w:p w14:paraId="076A18E7">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rPr>
            </w:pPr>
          </w:p>
        </w:tc>
      </w:tr>
      <w:tr w14:paraId="0705D2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41" w:type="dxa"/>
            <w:vAlign w:val="center"/>
          </w:tcPr>
          <w:p w14:paraId="106E0CD2">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2"/>
                <w:sz w:val="21"/>
                <w:szCs w:val="21"/>
                <w:lang w:eastAsia="zh-CN"/>
              </w:rPr>
            </w:pPr>
            <w:r>
              <w:rPr>
                <w:rFonts w:hint="eastAsia" w:ascii="宋体" w:hAnsi="宋体" w:eastAsia="宋体" w:cs="宋体"/>
                <w:spacing w:val="2"/>
                <w:sz w:val="21"/>
                <w:szCs w:val="21"/>
                <w:lang w:eastAsia="zh-CN"/>
              </w:rPr>
              <w:t>3</w:t>
            </w:r>
          </w:p>
        </w:tc>
        <w:tc>
          <w:tcPr>
            <w:tcW w:w="1995" w:type="dxa"/>
            <w:vAlign w:val="center"/>
          </w:tcPr>
          <w:p w14:paraId="68EE9D91">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4"/>
                <w:sz w:val="21"/>
                <w:szCs w:val="21"/>
                <w:lang w:eastAsia="zh-CN"/>
              </w:rPr>
            </w:pPr>
            <w:r>
              <w:rPr>
                <w:rFonts w:hint="eastAsia" w:ascii="宋体" w:hAnsi="宋体" w:eastAsia="宋体" w:cs="宋体"/>
                <w:spacing w:val="4"/>
                <w:sz w:val="21"/>
                <w:szCs w:val="21"/>
                <w:lang w:eastAsia="zh-CN"/>
              </w:rPr>
              <w:t>硬化拆除</w:t>
            </w:r>
          </w:p>
        </w:tc>
        <w:tc>
          <w:tcPr>
            <w:tcW w:w="762" w:type="dxa"/>
            <w:vAlign w:val="center"/>
          </w:tcPr>
          <w:p w14:paraId="251FB63E">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rPr>
            </w:pPr>
            <w:r>
              <w:rPr>
                <w:rFonts w:hint="eastAsia" w:ascii="宋体" w:hAnsi="宋体" w:eastAsia="宋体" w:cs="宋体"/>
                <w:spacing w:val="1"/>
                <w:sz w:val="21"/>
                <w:szCs w:val="21"/>
              </w:rPr>
              <w:t>m</w:t>
            </w:r>
            <w:r>
              <w:rPr>
                <w:rFonts w:hint="eastAsia" w:ascii="宋体" w:hAnsi="宋体" w:eastAsia="宋体" w:cs="宋体"/>
                <w:spacing w:val="1"/>
                <w:sz w:val="21"/>
                <w:szCs w:val="21"/>
                <w:vertAlign w:val="superscript"/>
              </w:rPr>
              <w:t>3</w:t>
            </w:r>
          </w:p>
        </w:tc>
        <w:tc>
          <w:tcPr>
            <w:tcW w:w="1334" w:type="dxa"/>
            <w:vAlign w:val="center"/>
          </w:tcPr>
          <w:p w14:paraId="4C9F37F2">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baseline"/>
              <w:rPr>
                <w:rFonts w:hint="eastAsia" w:ascii="宋体" w:hAnsi="宋体" w:eastAsia="宋体" w:cs="宋体"/>
                <w:spacing w:val="1"/>
                <w:sz w:val="21"/>
                <w:szCs w:val="21"/>
                <w:lang w:eastAsia="zh-CN"/>
              </w:rPr>
            </w:pPr>
            <w:r>
              <w:rPr>
                <w:rFonts w:hint="eastAsia" w:ascii="宋体" w:hAnsi="宋体" w:eastAsia="宋体" w:cs="宋体"/>
                <w:spacing w:val="2"/>
                <w:sz w:val="21"/>
                <w:szCs w:val="21"/>
                <w:lang w:val="en-US" w:eastAsia="zh-CN"/>
              </w:rPr>
              <w:t>257</w:t>
            </w:r>
            <w:r>
              <w:rPr>
                <w:rFonts w:hint="eastAsia" w:ascii="宋体" w:hAnsi="宋体" w:eastAsia="宋体" w:cs="宋体"/>
                <w:spacing w:val="2"/>
                <w:sz w:val="21"/>
                <w:szCs w:val="21"/>
              </w:rPr>
              <w:t>m</w:t>
            </w:r>
            <w:r>
              <w:rPr>
                <w:rFonts w:hint="eastAsia" w:ascii="宋体" w:hAnsi="宋体" w:eastAsia="宋体" w:cs="宋体"/>
                <w:spacing w:val="2"/>
                <w:sz w:val="21"/>
                <w:szCs w:val="21"/>
                <w:vertAlign w:val="superscript"/>
                <w:lang w:val="en-US" w:eastAsia="zh-CN"/>
              </w:rPr>
              <w:t>3</w:t>
            </w:r>
          </w:p>
        </w:tc>
        <w:tc>
          <w:tcPr>
            <w:tcW w:w="3268" w:type="dxa"/>
            <w:vAlign w:val="center"/>
          </w:tcPr>
          <w:p w14:paraId="13322D70">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lang w:eastAsia="zh-CN"/>
              </w:rPr>
            </w:pPr>
            <w:r>
              <w:rPr>
                <w:rFonts w:hint="eastAsia" w:ascii="宋体" w:hAnsi="宋体" w:eastAsia="宋体" w:cs="宋体"/>
                <w:spacing w:val="1"/>
                <w:sz w:val="21"/>
                <w:szCs w:val="21"/>
                <w:lang w:eastAsia="zh-CN"/>
              </w:rPr>
              <w:t>拆除厚度0.1m</w:t>
            </w:r>
          </w:p>
        </w:tc>
      </w:tr>
      <w:tr w14:paraId="191633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641" w:type="dxa"/>
            <w:vAlign w:val="center"/>
          </w:tcPr>
          <w:p w14:paraId="0559A33C">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2"/>
                <w:sz w:val="21"/>
                <w:szCs w:val="21"/>
                <w:lang w:eastAsia="zh-CN"/>
              </w:rPr>
            </w:pPr>
            <w:r>
              <w:rPr>
                <w:rFonts w:hint="eastAsia" w:ascii="宋体" w:hAnsi="宋体" w:eastAsia="宋体" w:cs="宋体"/>
                <w:spacing w:val="2"/>
                <w:sz w:val="21"/>
                <w:szCs w:val="21"/>
                <w:lang w:eastAsia="zh-CN"/>
              </w:rPr>
              <w:t>4</w:t>
            </w:r>
          </w:p>
        </w:tc>
        <w:tc>
          <w:tcPr>
            <w:tcW w:w="1995" w:type="dxa"/>
            <w:vAlign w:val="center"/>
          </w:tcPr>
          <w:p w14:paraId="5AD7F755">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场地平整</w:t>
            </w:r>
          </w:p>
        </w:tc>
        <w:tc>
          <w:tcPr>
            <w:tcW w:w="762" w:type="dxa"/>
            <w:vAlign w:val="center"/>
          </w:tcPr>
          <w:p w14:paraId="2A385D1C">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rPr>
            </w:pPr>
            <w:r>
              <w:rPr>
                <w:rFonts w:hint="eastAsia" w:ascii="宋体" w:hAnsi="宋体" w:eastAsia="宋体" w:cs="宋体"/>
                <w:spacing w:val="1"/>
                <w:sz w:val="21"/>
                <w:szCs w:val="21"/>
              </w:rPr>
              <w:t>m</w:t>
            </w:r>
            <w:r>
              <w:rPr>
                <w:rFonts w:hint="eastAsia" w:ascii="宋体" w:hAnsi="宋体" w:eastAsia="宋体" w:cs="宋体"/>
                <w:spacing w:val="1"/>
                <w:sz w:val="21"/>
                <w:szCs w:val="21"/>
                <w:vertAlign w:val="superscript"/>
              </w:rPr>
              <w:t>3</w:t>
            </w:r>
          </w:p>
        </w:tc>
        <w:tc>
          <w:tcPr>
            <w:tcW w:w="1334" w:type="dxa"/>
            <w:vAlign w:val="center"/>
          </w:tcPr>
          <w:p w14:paraId="4F58BDDC">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baseline"/>
              <w:rPr>
                <w:rFonts w:hint="eastAsia" w:ascii="宋体" w:hAnsi="宋体" w:eastAsia="宋体" w:cs="宋体"/>
                <w:spacing w:val="1"/>
                <w:sz w:val="21"/>
                <w:szCs w:val="21"/>
                <w:lang w:eastAsia="zh-CN"/>
              </w:rPr>
            </w:pPr>
            <w:r>
              <w:rPr>
                <w:rFonts w:hint="eastAsia" w:ascii="宋体" w:hAnsi="宋体" w:eastAsia="宋体" w:cs="宋体"/>
                <w:spacing w:val="2"/>
                <w:sz w:val="21"/>
                <w:szCs w:val="21"/>
                <w:lang w:val="en-US" w:eastAsia="zh-CN"/>
              </w:rPr>
              <w:t>119700</w:t>
            </w:r>
            <w:r>
              <w:rPr>
                <w:rFonts w:hint="eastAsia" w:ascii="宋体" w:hAnsi="宋体" w:eastAsia="宋体" w:cs="宋体"/>
                <w:spacing w:val="2"/>
                <w:sz w:val="21"/>
                <w:szCs w:val="21"/>
              </w:rPr>
              <w:t>m</w:t>
            </w:r>
            <w:r>
              <w:rPr>
                <w:rFonts w:hint="eastAsia" w:ascii="宋体" w:hAnsi="宋体" w:eastAsia="宋体" w:cs="宋体"/>
                <w:spacing w:val="2"/>
                <w:sz w:val="21"/>
                <w:szCs w:val="21"/>
                <w:vertAlign w:val="superscript"/>
                <w:lang w:val="en-US" w:eastAsia="zh-CN"/>
              </w:rPr>
              <w:t>3</w:t>
            </w:r>
          </w:p>
        </w:tc>
        <w:tc>
          <w:tcPr>
            <w:tcW w:w="3268" w:type="dxa"/>
            <w:vAlign w:val="center"/>
          </w:tcPr>
          <w:p w14:paraId="1A786DBA">
            <w:pPr>
              <w:pStyle w:val="23"/>
              <w:keepNext w:val="0"/>
              <w:keepLines w:val="0"/>
              <w:pageBreakBefore w:val="0"/>
              <w:widowControl w:val="0"/>
              <w:kinsoku/>
              <w:wordWrap/>
              <w:overflowPunct/>
              <w:topLinePunct w:val="0"/>
              <w:autoSpaceDE w:val="0"/>
              <w:autoSpaceDN w:val="0"/>
              <w:bidi w:val="0"/>
              <w:adjustRightInd/>
              <w:snapToGrid/>
              <w:spacing w:line="240" w:lineRule="auto"/>
              <w:jc w:val="center"/>
              <w:textAlignment w:val="baseline"/>
              <w:rPr>
                <w:rFonts w:hint="eastAsia" w:ascii="宋体" w:hAnsi="宋体" w:eastAsia="宋体" w:cs="宋体"/>
                <w:spacing w:val="1"/>
                <w:sz w:val="21"/>
                <w:szCs w:val="21"/>
              </w:rPr>
            </w:pPr>
            <w:r>
              <w:rPr>
                <w:rFonts w:hint="eastAsia" w:ascii="宋体" w:hAnsi="宋体" w:eastAsia="宋体" w:cs="宋体"/>
                <w:spacing w:val="1"/>
                <w:sz w:val="21"/>
                <w:szCs w:val="21"/>
              </w:rPr>
              <w:t>平整厚度0.</w:t>
            </w:r>
            <w:r>
              <w:rPr>
                <w:rFonts w:hint="eastAsia" w:cs="宋体"/>
                <w:spacing w:val="1"/>
                <w:sz w:val="21"/>
                <w:szCs w:val="21"/>
                <w:lang w:val="en-US" w:eastAsia="zh-CN"/>
              </w:rPr>
              <w:t>2</w:t>
            </w:r>
            <w:r>
              <w:rPr>
                <w:rFonts w:hint="eastAsia" w:ascii="宋体" w:hAnsi="宋体" w:eastAsia="宋体" w:cs="宋体"/>
                <w:spacing w:val="1"/>
                <w:sz w:val="21"/>
                <w:szCs w:val="21"/>
              </w:rPr>
              <w:t>m</w:t>
            </w:r>
          </w:p>
        </w:tc>
      </w:tr>
    </w:tbl>
    <w:p w14:paraId="388C536E">
      <w:pPr>
        <w:pStyle w:val="2"/>
        <w:keepNext w:val="0"/>
        <w:keepLines w:val="0"/>
        <w:widowControl w:val="0"/>
        <w:kinsoku/>
        <w:spacing w:before="0" w:after="0" w:line="360" w:lineRule="auto"/>
        <w:jc w:val="center"/>
        <w:rPr>
          <w:rFonts w:hint="eastAsia" w:ascii="黑体" w:hAnsi="黑体" w:eastAsia="黑体" w:cs="黑体"/>
          <w:b w:val="0"/>
          <w:bCs/>
          <w:sz w:val="32"/>
          <w:szCs w:val="32"/>
        </w:rPr>
        <w:sectPr>
          <w:footerReference r:id="rId7" w:type="default"/>
          <w:pgSz w:w="11905" w:h="16839"/>
          <w:pgMar w:top="1440" w:right="1800" w:bottom="1440" w:left="1800" w:header="680" w:footer="850" w:gutter="0"/>
          <w:cols w:space="720" w:num="1"/>
        </w:sectPr>
      </w:pPr>
      <w:bookmarkStart w:id="219" w:name="bookmark175"/>
      <w:bookmarkEnd w:id="219"/>
      <w:bookmarkStart w:id="220" w:name="bookmark172"/>
      <w:bookmarkEnd w:id="220"/>
      <w:bookmarkStart w:id="221" w:name="bookmark173"/>
      <w:bookmarkEnd w:id="221"/>
      <w:bookmarkStart w:id="222" w:name="bookmark171"/>
      <w:bookmarkEnd w:id="222"/>
      <w:bookmarkStart w:id="223" w:name="bookmark170"/>
      <w:bookmarkEnd w:id="223"/>
      <w:bookmarkStart w:id="224" w:name="bookmark174"/>
      <w:bookmarkEnd w:id="224"/>
      <w:bookmarkStart w:id="225" w:name="bookmark168"/>
      <w:bookmarkEnd w:id="225"/>
      <w:bookmarkStart w:id="226" w:name="bookmark169"/>
      <w:bookmarkEnd w:id="226"/>
      <w:bookmarkStart w:id="227" w:name="_Toc30759"/>
    </w:p>
    <w:p w14:paraId="6FAC04EE">
      <w:pPr>
        <w:pStyle w:val="2"/>
        <w:keepNext w:val="0"/>
        <w:keepLines w:val="0"/>
        <w:widowControl w:val="0"/>
        <w:kinsoku/>
        <w:spacing w:before="0" w:after="0" w:line="360" w:lineRule="auto"/>
        <w:jc w:val="center"/>
        <w:rPr>
          <w:rFonts w:hint="eastAsia" w:ascii="黑体" w:hAnsi="黑体" w:eastAsia="黑体" w:cs="黑体"/>
          <w:b w:val="0"/>
          <w:bCs/>
          <w:sz w:val="32"/>
          <w:szCs w:val="32"/>
        </w:rPr>
      </w:pPr>
      <w:r>
        <w:rPr>
          <w:rFonts w:hint="eastAsia" w:ascii="黑体" w:hAnsi="黑体" w:eastAsia="黑体" w:cs="黑体"/>
          <w:b w:val="0"/>
          <w:bCs/>
          <w:sz w:val="32"/>
          <w:szCs w:val="32"/>
        </w:rPr>
        <w:t>第</w:t>
      </w:r>
      <w:r>
        <w:rPr>
          <w:rFonts w:hint="eastAsia" w:ascii="黑体" w:hAnsi="黑体" w:eastAsia="黑体" w:cs="黑体"/>
          <w:b w:val="0"/>
          <w:bCs/>
          <w:sz w:val="32"/>
          <w:szCs w:val="32"/>
          <w:lang w:eastAsia="zh-CN"/>
        </w:rPr>
        <w:t>五</w:t>
      </w:r>
      <w:r>
        <w:rPr>
          <w:rFonts w:hint="eastAsia" w:ascii="黑体" w:hAnsi="黑体" w:eastAsia="黑体" w:cs="黑体"/>
          <w:b w:val="0"/>
          <w:bCs/>
          <w:sz w:val="32"/>
          <w:szCs w:val="32"/>
        </w:rPr>
        <w:t>章</w:t>
      </w:r>
      <w:r>
        <w:rPr>
          <w:rFonts w:hint="eastAsia" w:ascii="黑体" w:hAnsi="黑体" w:eastAsia="黑体" w:cs="黑体"/>
          <w:b w:val="0"/>
          <w:bCs/>
          <w:sz w:val="32"/>
          <w:szCs w:val="32"/>
          <w:lang w:eastAsia="zh-CN"/>
        </w:rPr>
        <w:t xml:space="preserve">  </w:t>
      </w:r>
      <w:r>
        <w:rPr>
          <w:rFonts w:hint="eastAsia" w:ascii="黑体" w:hAnsi="黑体" w:eastAsia="黑体" w:cs="黑体"/>
          <w:b w:val="0"/>
          <w:bCs/>
          <w:sz w:val="32"/>
          <w:szCs w:val="32"/>
        </w:rPr>
        <w:t>监测和管护</w:t>
      </w:r>
      <w:bookmarkEnd w:id="227"/>
    </w:p>
    <w:p w14:paraId="35462376">
      <w:pPr>
        <w:pStyle w:val="3"/>
        <w:keepNext w:val="0"/>
        <w:keepLines w:val="0"/>
        <w:widowControl w:val="0"/>
        <w:adjustRightInd/>
        <w:snapToGrid/>
        <w:spacing w:before="0" w:after="0" w:line="360" w:lineRule="auto"/>
        <w:rPr>
          <w:b w:val="0"/>
          <w:bCs/>
          <w:lang w:eastAsia="zh-CN"/>
        </w:rPr>
      </w:pPr>
      <w:bookmarkStart w:id="228" w:name="bookmark282"/>
      <w:bookmarkEnd w:id="228"/>
      <w:bookmarkStart w:id="229" w:name="_Toc20346"/>
      <w:r>
        <w:rPr>
          <w:rFonts w:hint="eastAsia"/>
          <w:b w:val="0"/>
          <w:bCs/>
          <w:lang w:eastAsia="zh-CN"/>
        </w:rPr>
        <w:t>一、</w:t>
      </w:r>
      <w:r>
        <w:rPr>
          <w:b w:val="0"/>
          <w:bCs/>
        </w:rPr>
        <w:t>监测</w:t>
      </w:r>
      <w:r>
        <w:rPr>
          <w:rFonts w:hint="eastAsia"/>
          <w:b w:val="0"/>
          <w:bCs/>
          <w:lang w:eastAsia="zh-CN"/>
        </w:rPr>
        <w:t>目标与措施</w:t>
      </w:r>
      <w:bookmarkEnd w:id="229"/>
    </w:p>
    <w:p w14:paraId="5ECB293A">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30" w:name="bookmark283"/>
      <w:bookmarkEnd w:id="230"/>
      <w:bookmarkStart w:id="231" w:name="_Toc12494"/>
      <w:bookmarkStart w:id="232" w:name="_Toc16896"/>
      <w:r>
        <w:rPr>
          <w:rFonts w:hint="eastAsia" w:ascii="宋体" w:hAnsi="宋体" w:eastAsia="宋体" w:cs="宋体"/>
          <w:sz w:val="28"/>
          <w:szCs w:val="28"/>
          <w:lang w:eastAsia="zh-CN"/>
        </w:rPr>
        <w:t>（一）目标任务</w:t>
      </w:r>
      <w:bookmarkEnd w:id="231"/>
      <w:bookmarkEnd w:id="232"/>
    </w:p>
    <w:p w14:paraId="32F97B3A">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按照“统一规划、源头控制、预防为主、防复结合”的原则，本矿山在开采、生产过程中应采取合理措施，以减小和控制破坏地质环境的面积和程度，为污染修复与生态修复创造良好的条件。生产过程中应建立完善的地质灾害预警、含水层破坏、地形地貌破坏的监测系统，及时对监测异常区进行防护与治理。加强规划和施工管理，尽量缩小对环境的影响范围，将破坏环境程度控制在最低限度，尽可能地避免造成水土资源大面积破坏，而使生态系统受到威胁。</w:t>
      </w:r>
    </w:p>
    <w:p w14:paraId="27F91BCA">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33" w:name="bookmark177"/>
      <w:bookmarkEnd w:id="233"/>
      <w:bookmarkStart w:id="234" w:name="bookmark176"/>
      <w:bookmarkEnd w:id="234"/>
      <w:bookmarkStart w:id="235" w:name="_Toc8476"/>
      <w:bookmarkStart w:id="236" w:name="_Toc6594"/>
      <w:r>
        <w:rPr>
          <w:rFonts w:hint="eastAsia" w:ascii="宋体" w:hAnsi="宋体" w:eastAsia="宋体" w:cs="宋体"/>
          <w:sz w:val="28"/>
          <w:szCs w:val="28"/>
          <w:lang w:eastAsia="zh-CN"/>
        </w:rPr>
        <w:t>（二）监测设计</w:t>
      </w:r>
      <w:bookmarkEnd w:id="235"/>
      <w:bookmarkEnd w:id="236"/>
    </w:p>
    <w:p w14:paraId="1AABE54F">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为了保护现有生态环境，在矿区边坡设置地表位移及变形监测，安全监测等级为三级，采场边坡安全监测等级为三级应测项有边坡变形（表面位移）、视频监控及水文气象（降雨量）；地形地貌景观破坏监测二类监测，通过观测做数据监测分析，及时发现问题，及时解决问题。</w:t>
      </w:r>
    </w:p>
    <w:p w14:paraId="368D51E1">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val="en-US" w:eastAsia="zh-CN"/>
        </w:rPr>
        <w:t>1</w:t>
      </w:r>
      <w:r>
        <w:rPr>
          <w:rFonts w:hint="eastAsia" w:ascii="宋体" w:hAnsi="宋体" w:eastAsia="宋体" w:cs="宋体"/>
          <w:spacing w:val="4"/>
          <w:sz w:val="28"/>
          <w:szCs w:val="28"/>
          <w:lang w:eastAsia="zh-CN"/>
        </w:rPr>
        <w:t>、土地资源与地形地貌景观监测设计</w:t>
      </w:r>
    </w:p>
    <w:p w14:paraId="668B053E">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为了及时反映矿区地形地貌景观和生态景观状况，适时掌握地貌景观破坏面积、以便采取防护措施和变更矿区生态修复方案，矿区土地资源与地形地貌景观监测。设计方案如下：</w:t>
      </w:r>
    </w:p>
    <w:p w14:paraId="21D08359">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对土地损毁和压占情况采用无人机测绘法，通过形成影像数据分析完成监测，设计监测点4处，监测频率2次/年。</w:t>
      </w:r>
    </w:p>
    <w:p w14:paraId="574BB6B0">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37" w:name="bookmark178"/>
      <w:bookmarkEnd w:id="237"/>
      <w:bookmarkStart w:id="238" w:name="bookmark179"/>
      <w:bookmarkEnd w:id="238"/>
      <w:bookmarkStart w:id="239" w:name="_Toc17574"/>
      <w:bookmarkStart w:id="240" w:name="_Toc29893"/>
      <w:r>
        <w:rPr>
          <w:rFonts w:hint="eastAsia" w:ascii="宋体" w:hAnsi="宋体" w:eastAsia="宋体" w:cs="宋体"/>
          <w:sz w:val="28"/>
          <w:szCs w:val="28"/>
          <w:lang w:eastAsia="zh-CN"/>
        </w:rPr>
        <w:t>（三）技术措施</w:t>
      </w:r>
      <w:bookmarkEnd w:id="239"/>
      <w:bookmarkEnd w:id="240"/>
    </w:p>
    <w:p w14:paraId="0EAC511C">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人工监测可采用自动式全站仪、RTK等设备，测量采用中丝法度数，直读视距，精度达到三等，观测中误差＜25mm/km。人工监测应每月不少于一次，在雨季和融雪季节应每半月进行一次。出现等速变形时，应每周不少于1次；加速变形时应每日进行监测。GNSS监测点须满足：支持北斗等；平面静态解算精度优于（2.5+110-6D）mm，高程静态解算精度优于（5.0+110-6D）mm，其中D为所测量的基线长度；设备年度综合在线率不低于90%。</w:t>
      </w:r>
    </w:p>
    <w:p w14:paraId="03B06A7B">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地形地貌景观破坏监测主要采用人工现场量测或遥感解译方法，对采矿活动对地貌景观的破坏进行监测，选择每年7月进行监测，共监测</w:t>
      </w:r>
      <w:r>
        <w:rPr>
          <w:rFonts w:hint="eastAsia" w:ascii="宋体" w:hAnsi="宋体" w:eastAsia="宋体" w:cs="宋体"/>
          <w:spacing w:val="4"/>
          <w:sz w:val="28"/>
          <w:szCs w:val="28"/>
          <w:lang w:val="en-US" w:eastAsia="zh-CN"/>
        </w:rPr>
        <w:t>22</w:t>
      </w:r>
      <w:r>
        <w:rPr>
          <w:rFonts w:hint="eastAsia" w:ascii="宋体" w:hAnsi="宋体" w:eastAsia="宋体" w:cs="宋体"/>
          <w:spacing w:val="4"/>
          <w:sz w:val="28"/>
          <w:szCs w:val="28"/>
          <w:lang w:eastAsia="zh-CN"/>
        </w:rPr>
        <w:t>次。</w:t>
      </w:r>
    </w:p>
    <w:p w14:paraId="21F192DA">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41" w:name="bookmark181"/>
      <w:bookmarkEnd w:id="241"/>
      <w:bookmarkStart w:id="242" w:name="bookmark180"/>
      <w:bookmarkEnd w:id="242"/>
      <w:bookmarkStart w:id="243" w:name="_Toc3822"/>
      <w:bookmarkStart w:id="244" w:name="_Toc10175"/>
      <w:r>
        <w:rPr>
          <w:rFonts w:hint="eastAsia" w:ascii="宋体" w:hAnsi="宋体" w:eastAsia="宋体" w:cs="宋体"/>
          <w:sz w:val="28"/>
          <w:szCs w:val="28"/>
          <w:lang w:eastAsia="zh-CN"/>
        </w:rPr>
        <w:t>（四）主要工程量</w:t>
      </w:r>
      <w:bookmarkEnd w:id="243"/>
      <w:bookmarkEnd w:id="244"/>
    </w:p>
    <w:p w14:paraId="4B9B8871">
      <w:pPr>
        <w:pStyle w:val="6"/>
        <w:spacing w:line="247" w:lineRule="auto"/>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具体监测点类型、数量、见表5-1。</w:t>
      </w:r>
    </w:p>
    <w:p w14:paraId="28CE2953">
      <w:pPr>
        <w:spacing w:before="3" w:line="227" w:lineRule="auto"/>
        <w:jc w:val="center"/>
        <w:rPr>
          <w:rFonts w:hint="eastAsia" w:ascii="宋体" w:hAnsi="宋体" w:eastAsia="宋体" w:cs="宋体"/>
          <w:b/>
          <w:bCs/>
          <w:spacing w:val="6"/>
          <w:sz w:val="21"/>
          <w:szCs w:val="21"/>
          <w:lang w:eastAsia="zh-CN"/>
        </w:rPr>
      </w:pPr>
      <w:bookmarkStart w:id="245" w:name="bookmark284"/>
      <w:bookmarkEnd w:id="245"/>
      <w:r>
        <w:rPr>
          <w:rFonts w:hint="eastAsia" w:ascii="宋体" w:hAnsi="宋体" w:eastAsia="宋体" w:cs="宋体"/>
          <w:b/>
          <w:bCs/>
          <w:spacing w:val="6"/>
          <w:sz w:val="21"/>
          <w:szCs w:val="21"/>
          <w:lang w:eastAsia="zh-CN"/>
        </w:rPr>
        <w:t>表5-1  监测工作量一览表</w:t>
      </w:r>
    </w:p>
    <w:tbl>
      <w:tblPr>
        <w:tblStyle w:val="22"/>
        <w:tblW w:w="830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1"/>
        <w:gridCol w:w="2202"/>
        <w:gridCol w:w="1155"/>
        <w:gridCol w:w="1700"/>
        <w:gridCol w:w="1132"/>
        <w:gridCol w:w="1536"/>
      </w:tblGrid>
      <w:tr w14:paraId="0F953A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581" w:type="dxa"/>
            <w:vAlign w:val="center"/>
          </w:tcPr>
          <w:p w14:paraId="06257CF0">
            <w:pPr>
              <w:widowControl w:val="0"/>
              <w:kinsoku/>
              <w:adjustRightInd/>
              <w:snapToGrid/>
              <w:jc w:val="center"/>
              <w:rPr>
                <w:rFonts w:hint="eastAsia" w:ascii="宋体" w:hAnsi="宋体" w:eastAsia="宋体" w:cs="宋体"/>
              </w:rPr>
            </w:pPr>
            <w:r>
              <w:rPr>
                <w:rFonts w:hint="eastAsia" w:ascii="宋体" w:hAnsi="宋体" w:eastAsia="宋体" w:cs="宋体"/>
                <w:spacing w:val="9"/>
              </w:rPr>
              <w:t>序号</w:t>
            </w:r>
          </w:p>
        </w:tc>
        <w:tc>
          <w:tcPr>
            <w:tcW w:w="2202" w:type="dxa"/>
            <w:vAlign w:val="center"/>
          </w:tcPr>
          <w:p w14:paraId="6736AB92">
            <w:pPr>
              <w:widowControl w:val="0"/>
              <w:kinsoku/>
              <w:adjustRightInd/>
              <w:snapToGrid/>
              <w:jc w:val="center"/>
              <w:rPr>
                <w:rFonts w:hint="eastAsia" w:ascii="宋体" w:hAnsi="宋体" w:eastAsia="宋体" w:cs="宋体"/>
                <w:spacing w:val="9"/>
              </w:rPr>
            </w:pPr>
            <w:r>
              <w:rPr>
                <w:rFonts w:hint="eastAsia" w:ascii="宋体" w:hAnsi="宋体" w:eastAsia="宋体" w:cs="宋体"/>
                <w:spacing w:val="9"/>
              </w:rPr>
              <w:t>监测点类型</w:t>
            </w:r>
          </w:p>
        </w:tc>
        <w:tc>
          <w:tcPr>
            <w:tcW w:w="1155" w:type="dxa"/>
            <w:vAlign w:val="center"/>
          </w:tcPr>
          <w:p w14:paraId="3760FC92">
            <w:pPr>
              <w:widowControl w:val="0"/>
              <w:kinsoku/>
              <w:adjustRightInd/>
              <w:snapToGrid/>
              <w:jc w:val="center"/>
              <w:rPr>
                <w:rFonts w:hint="eastAsia" w:ascii="宋体" w:hAnsi="宋体" w:eastAsia="宋体" w:cs="宋体"/>
                <w:spacing w:val="9"/>
              </w:rPr>
            </w:pPr>
            <w:r>
              <w:rPr>
                <w:rFonts w:hint="eastAsia" w:ascii="宋体" w:hAnsi="宋体" w:eastAsia="宋体" w:cs="宋体"/>
                <w:spacing w:val="9"/>
              </w:rPr>
              <w:t>监测点数</w:t>
            </w:r>
          </w:p>
        </w:tc>
        <w:tc>
          <w:tcPr>
            <w:tcW w:w="1700" w:type="dxa"/>
            <w:vAlign w:val="center"/>
          </w:tcPr>
          <w:p w14:paraId="1EC64289">
            <w:pPr>
              <w:widowControl w:val="0"/>
              <w:kinsoku/>
              <w:adjustRightInd/>
              <w:snapToGrid/>
              <w:jc w:val="center"/>
              <w:rPr>
                <w:rFonts w:hint="eastAsia" w:ascii="宋体" w:hAnsi="宋体" w:eastAsia="宋体" w:cs="宋体"/>
                <w:spacing w:val="9"/>
              </w:rPr>
            </w:pPr>
            <w:r>
              <w:rPr>
                <w:rFonts w:hint="eastAsia" w:ascii="宋体" w:hAnsi="宋体" w:eastAsia="宋体" w:cs="宋体"/>
                <w:spacing w:val="9"/>
              </w:rPr>
              <w:t>每点监测频率</w:t>
            </w:r>
          </w:p>
        </w:tc>
        <w:tc>
          <w:tcPr>
            <w:tcW w:w="1132" w:type="dxa"/>
            <w:vAlign w:val="center"/>
          </w:tcPr>
          <w:p w14:paraId="36F33EE9">
            <w:pPr>
              <w:widowControl w:val="0"/>
              <w:kinsoku/>
              <w:adjustRightInd/>
              <w:snapToGrid/>
              <w:jc w:val="center"/>
              <w:rPr>
                <w:rFonts w:hint="eastAsia" w:ascii="宋体" w:hAnsi="宋体" w:eastAsia="宋体" w:cs="宋体"/>
                <w:spacing w:val="9"/>
              </w:rPr>
            </w:pPr>
            <w:r>
              <w:rPr>
                <w:rFonts w:hint="eastAsia" w:ascii="宋体" w:hAnsi="宋体" w:eastAsia="宋体" w:cs="宋体"/>
                <w:spacing w:val="9"/>
              </w:rPr>
              <w:t>监测次数</w:t>
            </w:r>
          </w:p>
        </w:tc>
        <w:tc>
          <w:tcPr>
            <w:tcW w:w="1536" w:type="dxa"/>
            <w:vAlign w:val="center"/>
          </w:tcPr>
          <w:p w14:paraId="2CC152E1">
            <w:pPr>
              <w:widowControl w:val="0"/>
              <w:kinsoku/>
              <w:adjustRightInd/>
              <w:snapToGrid/>
              <w:jc w:val="center"/>
              <w:rPr>
                <w:rFonts w:hint="eastAsia" w:ascii="宋体" w:hAnsi="宋体" w:eastAsia="宋体" w:cs="宋体"/>
                <w:spacing w:val="9"/>
              </w:rPr>
            </w:pPr>
            <w:r>
              <w:rPr>
                <w:rFonts w:hint="eastAsia" w:ascii="宋体" w:hAnsi="宋体" w:eastAsia="宋体" w:cs="宋体"/>
                <w:spacing w:val="9"/>
              </w:rPr>
              <w:t>备注</w:t>
            </w:r>
          </w:p>
        </w:tc>
      </w:tr>
      <w:tr w14:paraId="4C9EB3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581" w:type="dxa"/>
            <w:vAlign w:val="center"/>
          </w:tcPr>
          <w:p w14:paraId="59E0C395">
            <w:pPr>
              <w:widowControl w:val="0"/>
              <w:kinsoku/>
              <w:adjustRightInd/>
              <w:snapToGrid/>
              <w:jc w:val="center"/>
              <w:rPr>
                <w:rFonts w:hint="eastAsia" w:ascii="宋体" w:hAnsi="宋体" w:eastAsia="宋体" w:cs="宋体"/>
                <w:spacing w:val="9"/>
                <w:lang w:eastAsia="zh-CN"/>
              </w:rPr>
            </w:pPr>
            <w:r>
              <w:rPr>
                <w:rFonts w:hint="eastAsia" w:ascii="宋体" w:hAnsi="宋体" w:eastAsia="宋体" w:cs="宋体"/>
                <w:spacing w:val="9"/>
                <w:lang w:val="en-US" w:eastAsia="zh-CN"/>
              </w:rPr>
              <w:t>1</w:t>
            </w:r>
          </w:p>
        </w:tc>
        <w:tc>
          <w:tcPr>
            <w:tcW w:w="2202" w:type="dxa"/>
            <w:vAlign w:val="center"/>
          </w:tcPr>
          <w:p w14:paraId="1EBC22CB">
            <w:pPr>
              <w:widowControl w:val="0"/>
              <w:kinsoku/>
              <w:adjustRightInd/>
              <w:snapToGrid/>
              <w:jc w:val="center"/>
              <w:rPr>
                <w:rFonts w:hint="eastAsia" w:ascii="宋体" w:hAnsi="宋体" w:eastAsia="宋体" w:cs="宋体"/>
                <w:spacing w:val="9"/>
                <w:lang w:eastAsia="zh-CN"/>
              </w:rPr>
            </w:pPr>
            <w:r>
              <w:rPr>
                <w:rFonts w:hint="eastAsia" w:ascii="宋体" w:hAnsi="宋体" w:eastAsia="宋体" w:cs="宋体"/>
                <w:spacing w:val="9"/>
                <w:lang w:eastAsia="zh-CN"/>
              </w:rPr>
              <w:t>地形地貌景观破坏监测</w:t>
            </w:r>
          </w:p>
        </w:tc>
        <w:tc>
          <w:tcPr>
            <w:tcW w:w="1155" w:type="dxa"/>
            <w:vAlign w:val="center"/>
          </w:tcPr>
          <w:p w14:paraId="328F7C4C">
            <w:pPr>
              <w:widowControl w:val="0"/>
              <w:kinsoku/>
              <w:adjustRightInd/>
              <w:snapToGrid/>
              <w:jc w:val="center"/>
              <w:rPr>
                <w:rFonts w:hint="default" w:ascii="宋体" w:hAnsi="宋体" w:eastAsia="宋体" w:cs="宋体"/>
                <w:spacing w:val="9"/>
                <w:lang w:val="en-US" w:eastAsia="zh-CN"/>
              </w:rPr>
            </w:pPr>
            <w:r>
              <w:rPr>
                <w:rFonts w:hint="eastAsia" w:ascii="宋体" w:hAnsi="宋体" w:eastAsia="宋体" w:cs="宋体"/>
                <w:spacing w:val="9"/>
                <w:lang w:val="en-US" w:eastAsia="zh-CN"/>
              </w:rPr>
              <w:t>2</w:t>
            </w:r>
          </w:p>
        </w:tc>
        <w:tc>
          <w:tcPr>
            <w:tcW w:w="1700" w:type="dxa"/>
            <w:vAlign w:val="center"/>
          </w:tcPr>
          <w:p w14:paraId="45A02C14">
            <w:pPr>
              <w:widowControl w:val="0"/>
              <w:kinsoku/>
              <w:adjustRightInd/>
              <w:snapToGrid/>
              <w:jc w:val="center"/>
              <w:rPr>
                <w:rFonts w:hint="eastAsia" w:ascii="宋体" w:hAnsi="宋体" w:eastAsia="宋体" w:cs="宋体"/>
                <w:spacing w:val="9"/>
              </w:rPr>
            </w:pPr>
            <w:r>
              <w:rPr>
                <w:rFonts w:hint="eastAsia" w:ascii="宋体" w:hAnsi="宋体" w:eastAsia="宋体" w:cs="宋体"/>
                <w:spacing w:val="9"/>
              </w:rPr>
              <w:t>2次/年</w:t>
            </w:r>
          </w:p>
        </w:tc>
        <w:tc>
          <w:tcPr>
            <w:tcW w:w="1132" w:type="dxa"/>
            <w:vAlign w:val="center"/>
          </w:tcPr>
          <w:p w14:paraId="2CC7C525">
            <w:pPr>
              <w:widowControl w:val="0"/>
              <w:kinsoku/>
              <w:adjustRightInd/>
              <w:snapToGrid/>
              <w:jc w:val="center"/>
              <w:rPr>
                <w:rFonts w:hint="default" w:ascii="宋体" w:hAnsi="宋体" w:eastAsia="宋体" w:cs="宋体"/>
                <w:spacing w:val="9"/>
                <w:lang w:val="en-US" w:eastAsia="zh-CN"/>
              </w:rPr>
            </w:pPr>
            <w:r>
              <w:rPr>
                <w:rFonts w:hint="eastAsia" w:ascii="宋体" w:hAnsi="宋体" w:eastAsia="宋体" w:cs="宋体"/>
                <w:spacing w:val="9"/>
                <w:lang w:val="en-US" w:eastAsia="zh-CN"/>
              </w:rPr>
              <w:t>22</w:t>
            </w:r>
          </w:p>
        </w:tc>
        <w:tc>
          <w:tcPr>
            <w:tcW w:w="1536" w:type="dxa"/>
            <w:vAlign w:val="center"/>
          </w:tcPr>
          <w:p w14:paraId="06E2FA08">
            <w:pPr>
              <w:widowControl w:val="0"/>
              <w:kinsoku/>
              <w:adjustRightInd/>
              <w:snapToGrid/>
              <w:jc w:val="center"/>
              <w:rPr>
                <w:rFonts w:hint="eastAsia" w:ascii="宋体" w:hAnsi="宋体" w:eastAsia="宋体" w:cs="宋体"/>
                <w:spacing w:val="9"/>
              </w:rPr>
            </w:pPr>
          </w:p>
        </w:tc>
      </w:tr>
    </w:tbl>
    <w:p w14:paraId="7F53C1EF">
      <w:pPr>
        <w:pStyle w:val="3"/>
        <w:keepNext w:val="0"/>
        <w:keepLines w:val="0"/>
        <w:widowControl w:val="0"/>
        <w:adjustRightInd/>
        <w:snapToGrid/>
        <w:spacing w:before="0" w:after="0" w:line="360" w:lineRule="auto"/>
        <w:rPr>
          <w:b w:val="0"/>
          <w:bCs/>
          <w:lang w:eastAsia="zh-CN"/>
        </w:rPr>
      </w:pPr>
      <w:bookmarkStart w:id="246" w:name="bookmark182"/>
      <w:bookmarkEnd w:id="246"/>
      <w:bookmarkStart w:id="247" w:name="bookmark183"/>
      <w:bookmarkEnd w:id="247"/>
      <w:bookmarkStart w:id="248" w:name="_Toc29151"/>
      <w:r>
        <w:rPr>
          <w:rFonts w:hint="eastAsia"/>
          <w:b w:val="0"/>
          <w:bCs/>
          <w:lang w:eastAsia="zh-CN"/>
        </w:rPr>
        <w:t>二、生态修复监测</w:t>
      </w:r>
      <w:bookmarkEnd w:id="248"/>
    </w:p>
    <w:p w14:paraId="4B43F525">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49" w:name="bookmark185"/>
      <w:bookmarkEnd w:id="249"/>
      <w:bookmarkStart w:id="250" w:name="bookmark184"/>
      <w:bookmarkEnd w:id="250"/>
      <w:bookmarkStart w:id="251" w:name="_Toc4954"/>
      <w:bookmarkStart w:id="252" w:name="_Toc25480"/>
      <w:r>
        <w:rPr>
          <w:rFonts w:hint="eastAsia" w:ascii="宋体" w:hAnsi="宋体" w:eastAsia="宋体" w:cs="宋体"/>
          <w:sz w:val="28"/>
          <w:szCs w:val="28"/>
          <w:lang w:eastAsia="zh-CN"/>
        </w:rPr>
        <w:t>（一）目标任务</w:t>
      </w:r>
      <w:bookmarkEnd w:id="251"/>
      <w:bookmarkEnd w:id="252"/>
    </w:p>
    <w:p w14:paraId="09206815">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矿山应健全生态修复监督检查制度，矿山主管生态修复工作人员定期对管护工作进行检查、评估，并将结果予以通报。管护费用按期发放到位，管护人员和管理干部工资由管护费用中提取，并制定适当的奖励和惩罚细则，对不合格的管护人员进行辞退或更换，以保障管护工作的顺利实施。</w:t>
      </w:r>
    </w:p>
    <w:p w14:paraId="3B45A6BA">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由于对未来可能发生的损毁情况存在较大的不确定性，当实际发生损毁时应重新根据损毁情况调整设计，</w:t>
      </w:r>
    </w:p>
    <w:p w14:paraId="7A19F0C7">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本部分仅作为估算工程量及施工费用的依据。监测和管护工作量需矿山进行生态修复开展后根据实际修复情况进行准确核算。</w:t>
      </w:r>
    </w:p>
    <w:p w14:paraId="5036FFDF">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53" w:name="bookmark187"/>
      <w:bookmarkEnd w:id="253"/>
      <w:bookmarkStart w:id="254" w:name="bookmark186"/>
      <w:bookmarkEnd w:id="254"/>
      <w:bookmarkStart w:id="255" w:name="_Toc29406"/>
      <w:bookmarkStart w:id="256" w:name="_Toc24064"/>
      <w:r>
        <w:rPr>
          <w:rFonts w:hint="eastAsia" w:ascii="宋体" w:hAnsi="宋体" w:eastAsia="宋体" w:cs="宋体"/>
          <w:sz w:val="28"/>
          <w:szCs w:val="28"/>
          <w:lang w:eastAsia="zh-CN"/>
        </w:rPr>
        <w:t>（二）监测措施</w:t>
      </w:r>
      <w:bookmarkEnd w:id="255"/>
      <w:bookmarkEnd w:id="256"/>
    </w:p>
    <w:p w14:paraId="6902F855">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1、生态修复监测的要求</w:t>
      </w:r>
    </w:p>
    <w:p w14:paraId="31FDCB6B">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⑴监测工作应系统全面。对修复区的监测不仅包括各项修复工程实施范围质量进度等，还应包括土地损毁和生态环境恢复等方面，确保修复区土地能达到可利用状态。</w:t>
      </w:r>
    </w:p>
    <w:p w14:paraId="707188FB">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⑵监测方案切实可行。针对本矿开采扰动区域修复原则和目标，确定本方案监测内容主要是对修复区周围影响等相关状况的监测，主要包括生态修复率等。本监测方案符合矿区实际，切实可行。</w:t>
      </w:r>
    </w:p>
    <w:p w14:paraId="4EA0FF77">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⑶优化监测设置。修复监测点、监测内容及监测频率布设科学合理，为生产单位减少了不必要的开支。</w:t>
      </w:r>
    </w:p>
    <w:p w14:paraId="117562DB">
      <w:pPr>
        <w:kinsoku/>
        <w:adjustRightInd/>
        <w:snapToGrid/>
        <w:spacing w:line="360" w:lineRule="auto"/>
        <w:ind w:firstLine="576" w:firstLineChars="200"/>
        <w:jc w:val="both"/>
        <w:rPr>
          <w:rFonts w:hint="eastAsia" w:ascii="宋体" w:hAnsi="宋体" w:eastAsia="宋体" w:cs="宋体"/>
          <w:spacing w:val="4"/>
          <w:sz w:val="28"/>
          <w:szCs w:val="28"/>
          <w:lang w:eastAsia="zh-CN"/>
        </w:rPr>
      </w:pPr>
      <w:bookmarkStart w:id="257" w:name="bookmark285"/>
      <w:bookmarkEnd w:id="257"/>
      <w:r>
        <w:rPr>
          <w:rFonts w:hint="eastAsia" w:ascii="宋体" w:hAnsi="宋体" w:eastAsia="宋体" w:cs="宋体"/>
          <w:spacing w:val="4"/>
          <w:sz w:val="28"/>
          <w:szCs w:val="28"/>
          <w:lang w:eastAsia="zh-CN"/>
        </w:rPr>
        <w:t>⑷监测标准为《土地复垦质量控制标准》（TD/T1036－2013）。</w:t>
      </w:r>
    </w:p>
    <w:p w14:paraId="5F5E313E">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2、生态修复监测的主要内容</w:t>
      </w:r>
    </w:p>
    <w:p w14:paraId="3B93EE84">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⑴土地损毁监测。对采矿挖损土地的情况进行监测。具体项目是落实监测人员、监测频率、监测期限、设置监测基准点等。</w:t>
      </w:r>
    </w:p>
    <w:p w14:paraId="3532135F">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⑵修复效果监测。修复效果监测主要为土壤质量监测，包括地形坡度、有效土层厚度、土壤质地、土壤有机质含量、酸碱度（PH值）、有效磷含量、全氮含量等。</w:t>
      </w:r>
    </w:p>
    <w:p w14:paraId="5D1E000C">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3、修复监测设计</w:t>
      </w:r>
    </w:p>
    <w:p w14:paraId="62F4B2B6">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⑴土地损毁监测（2025年12月—20</w:t>
      </w:r>
      <w:r>
        <w:rPr>
          <w:rFonts w:hint="eastAsia" w:ascii="宋体" w:hAnsi="宋体" w:eastAsia="宋体" w:cs="宋体"/>
          <w:spacing w:val="4"/>
          <w:sz w:val="28"/>
          <w:szCs w:val="28"/>
          <w:lang w:val="en-US" w:eastAsia="zh-CN"/>
        </w:rPr>
        <w:t>29</w:t>
      </w:r>
      <w:r>
        <w:rPr>
          <w:rFonts w:hint="eastAsia" w:ascii="宋体" w:hAnsi="宋体" w:eastAsia="宋体" w:cs="宋体"/>
          <w:spacing w:val="4"/>
          <w:sz w:val="28"/>
          <w:szCs w:val="28"/>
          <w:lang w:eastAsia="zh-CN"/>
        </w:rPr>
        <w:t>年</w:t>
      </w:r>
      <w:r>
        <w:rPr>
          <w:rFonts w:hint="eastAsia" w:ascii="宋体" w:hAnsi="宋体" w:eastAsia="宋体" w:cs="宋体"/>
          <w:spacing w:val="4"/>
          <w:sz w:val="28"/>
          <w:szCs w:val="28"/>
          <w:lang w:val="en-US" w:eastAsia="zh-CN"/>
        </w:rPr>
        <w:t>6</w:t>
      </w:r>
      <w:r>
        <w:rPr>
          <w:rFonts w:hint="eastAsia" w:ascii="宋体" w:hAnsi="宋体" w:eastAsia="宋体" w:cs="宋体"/>
          <w:spacing w:val="4"/>
          <w:sz w:val="28"/>
          <w:szCs w:val="28"/>
          <w:lang w:eastAsia="zh-CN"/>
        </w:rPr>
        <w:t>月）</w:t>
      </w:r>
    </w:p>
    <w:p w14:paraId="6078CE9A">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土地损毁监测主要监测地形地貌变化，根据开采前后地形测量对比，确定开采破坏面积和最大开挖深度。</w:t>
      </w:r>
    </w:p>
    <w:p w14:paraId="159AC5A9">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⑵土壤质量监测（2025年12月—20</w:t>
      </w:r>
      <w:r>
        <w:rPr>
          <w:rFonts w:hint="eastAsia" w:ascii="宋体" w:hAnsi="宋体" w:eastAsia="宋体" w:cs="宋体"/>
          <w:spacing w:val="4"/>
          <w:sz w:val="28"/>
          <w:szCs w:val="28"/>
          <w:lang w:val="en-US" w:eastAsia="zh-CN"/>
        </w:rPr>
        <w:t>27</w:t>
      </w:r>
      <w:r>
        <w:rPr>
          <w:rFonts w:hint="eastAsia" w:ascii="宋体" w:hAnsi="宋体" w:eastAsia="宋体" w:cs="宋体"/>
          <w:spacing w:val="4"/>
          <w:sz w:val="28"/>
          <w:szCs w:val="28"/>
          <w:lang w:eastAsia="zh-CN"/>
        </w:rPr>
        <w:t>年</w:t>
      </w:r>
      <w:r>
        <w:rPr>
          <w:rFonts w:hint="eastAsia" w:ascii="宋体" w:hAnsi="宋体" w:eastAsia="宋体" w:cs="宋体"/>
          <w:spacing w:val="4"/>
          <w:sz w:val="28"/>
          <w:szCs w:val="28"/>
          <w:lang w:val="en-US" w:eastAsia="zh-CN"/>
        </w:rPr>
        <w:t>6</w:t>
      </w:r>
      <w:r>
        <w:rPr>
          <w:rFonts w:hint="eastAsia" w:ascii="宋体" w:hAnsi="宋体" w:eastAsia="宋体" w:cs="宋体"/>
          <w:spacing w:val="4"/>
          <w:sz w:val="28"/>
          <w:szCs w:val="28"/>
          <w:lang w:eastAsia="zh-CN"/>
        </w:rPr>
        <w:t>月，具体时间以采矿权证为准）。</w:t>
      </w:r>
    </w:p>
    <w:p w14:paraId="6D9DA475">
      <w:pPr>
        <w:kinsoku/>
        <w:adjustRightInd/>
        <w:snapToGrid/>
        <w:spacing w:line="360" w:lineRule="auto"/>
        <w:ind w:firstLine="576" w:firstLineChars="200"/>
        <w:jc w:val="both"/>
        <w:rPr>
          <w:rFonts w:hint="eastAsia" w:ascii="宋体" w:hAnsi="宋体" w:eastAsia="宋体" w:cs="宋体"/>
          <w:color w:val="EE0000"/>
          <w:spacing w:val="4"/>
          <w:sz w:val="28"/>
          <w:szCs w:val="28"/>
          <w:lang w:eastAsia="zh-CN"/>
        </w:rPr>
      </w:pPr>
      <w:r>
        <w:rPr>
          <w:rFonts w:hint="eastAsia" w:ascii="宋体" w:hAnsi="宋体" w:eastAsia="宋体" w:cs="宋体"/>
          <w:spacing w:val="4"/>
          <w:sz w:val="28"/>
          <w:szCs w:val="28"/>
          <w:lang w:eastAsia="zh-CN"/>
        </w:rPr>
        <w:t>监测内容：地形坡度、有效土层厚度、土壤质地等。</w:t>
      </w:r>
    </w:p>
    <w:p w14:paraId="53BB01F5">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监测方法：本方案采用样方随机调查法。</w:t>
      </w:r>
    </w:p>
    <w:p w14:paraId="4846EBBF">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监测频率：每年1次，监测8年（开采第二年开始监测修复区域，直至管护期结束）。</w:t>
      </w:r>
    </w:p>
    <w:p w14:paraId="63CECCC3">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土壤监测：定期指派专业人员，采用实地勘测、仪器分析等方法进行监测。</w:t>
      </w:r>
    </w:p>
    <w:p w14:paraId="0F922E88">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矿区内共布设监测点12个。</w:t>
      </w:r>
    </w:p>
    <w:p w14:paraId="760FDB23">
      <w:pPr>
        <w:spacing w:before="3" w:line="227" w:lineRule="auto"/>
        <w:jc w:val="center"/>
        <w:rPr>
          <w:rFonts w:hint="eastAsia" w:ascii="宋体" w:hAnsi="宋体" w:eastAsia="宋体" w:cs="宋体"/>
          <w:b/>
          <w:bCs/>
          <w:spacing w:val="6"/>
          <w:sz w:val="21"/>
          <w:szCs w:val="21"/>
          <w:lang w:eastAsia="zh-CN"/>
        </w:rPr>
      </w:pPr>
      <w:r>
        <w:rPr>
          <w:rFonts w:hint="eastAsia" w:ascii="宋体" w:hAnsi="宋体" w:eastAsia="宋体" w:cs="宋体"/>
          <w:b/>
          <w:bCs/>
          <w:spacing w:val="6"/>
          <w:sz w:val="21"/>
          <w:szCs w:val="21"/>
          <w:lang w:eastAsia="zh-CN"/>
        </w:rPr>
        <w:t>表5-2  土壤质量监测方案表</w:t>
      </w:r>
    </w:p>
    <w:p w14:paraId="5956D5B5">
      <w:pPr>
        <w:spacing w:line="21" w:lineRule="exact"/>
      </w:pPr>
    </w:p>
    <w:tbl>
      <w:tblPr>
        <w:tblStyle w:val="22"/>
        <w:tblW w:w="829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935"/>
        <w:gridCol w:w="2055"/>
        <w:gridCol w:w="2595"/>
      </w:tblGrid>
      <w:tr w14:paraId="3F6404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706" w:type="dxa"/>
          </w:tcPr>
          <w:p w14:paraId="735174AA">
            <w:pPr>
              <w:kinsoku/>
              <w:adjustRightInd/>
              <w:snapToGrid/>
              <w:jc w:val="center"/>
              <w:rPr>
                <w:rFonts w:hint="eastAsia" w:ascii="宋体" w:hAnsi="宋体" w:eastAsia="宋体" w:cs="宋体"/>
              </w:rPr>
            </w:pPr>
            <w:r>
              <w:rPr>
                <w:rFonts w:hint="eastAsia" w:ascii="宋体" w:hAnsi="宋体" w:eastAsia="宋体" w:cs="宋体"/>
                <w:spacing w:val="8"/>
              </w:rPr>
              <w:t>监测内容</w:t>
            </w:r>
          </w:p>
        </w:tc>
        <w:tc>
          <w:tcPr>
            <w:tcW w:w="1935" w:type="dxa"/>
          </w:tcPr>
          <w:p w14:paraId="16F59DE3">
            <w:pPr>
              <w:kinsoku/>
              <w:adjustRightInd/>
              <w:snapToGrid/>
              <w:jc w:val="center"/>
              <w:rPr>
                <w:rFonts w:hint="eastAsia" w:ascii="宋体" w:hAnsi="宋体" w:eastAsia="宋体" w:cs="宋体"/>
              </w:rPr>
            </w:pPr>
            <w:r>
              <w:rPr>
                <w:rFonts w:hint="eastAsia" w:ascii="宋体" w:hAnsi="宋体" w:eastAsia="宋体" w:cs="宋体"/>
                <w:spacing w:val="9"/>
              </w:rPr>
              <w:t>监测频次（次/年）</w:t>
            </w:r>
          </w:p>
        </w:tc>
        <w:tc>
          <w:tcPr>
            <w:tcW w:w="2055" w:type="dxa"/>
          </w:tcPr>
          <w:p w14:paraId="67B6D851">
            <w:pPr>
              <w:kinsoku/>
              <w:adjustRightInd/>
              <w:snapToGrid/>
              <w:jc w:val="center"/>
              <w:rPr>
                <w:rFonts w:hint="eastAsia" w:ascii="宋体" w:hAnsi="宋体" w:eastAsia="宋体" w:cs="宋体"/>
              </w:rPr>
            </w:pPr>
            <w:r>
              <w:rPr>
                <w:rFonts w:hint="eastAsia" w:ascii="宋体" w:hAnsi="宋体" w:eastAsia="宋体" w:cs="宋体"/>
                <w:spacing w:val="10"/>
              </w:rPr>
              <w:t>监测点数量（个）</w:t>
            </w:r>
          </w:p>
        </w:tc>
        <w:tc>
          <w:tcPr>
            <w:tcW w:w="2595" w:type="dxa"/>
          </w:tcPr>
          <w:p w14:paraId="6C9586DF">
            <w:pPr>
              <w:kinsoku/>
              <w:adjustRightInd/>
              <w:snapToGrid/>
              <w:jc w:val="center"/>
              <w:rPr>
                <w:rFonts w:hint="eastAsia" w:ascii="宋体" w:hAnsi="宋体" w:eastAsia="宋体" w:cs="宋体"/>
                <w:lang w:eastAsia="zh-CN"/>
              </w:rPr>
            </w:pPr>
            <w:r>
              <w:rPr>
                <w:rFonts w:hint="eastAsia" w:ascii="宋体" w:hAnsi="宋体" w:eastAsia="宋体" w:cs="宋体"/>
                <w:spacing w:val="13"/>
                <w:lang w:eastAsia="zh-CN"/>
              </w:rPr>
              <w:t>样点持续监测时间（年）</w:t>
            </w:r>
          </w:p>
        </w:tc>
      </w:tr>
      <w:tr w14:paraId="54B3F7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1706" w:type="dxa"/>
          </w:tcPr>
          <w:p w14:paraId="7B2007A4">
            <w:pPr>
              <w:kinsoku/>
              <w:adjustRightInd/>
              <w:snapToGrid/>
              <w:jc w:val="center"/>
              <w:rPr>
                <w:rFonts w:hint="eastAsia" w:ascii="宋体" w:hAnsi="宋体" w:eastAsia="宋体" w:cs="宋体"/>
              </w:rPr>
            </w:pPr>
            <w:r>
              <w:rPr>
                <w:rFonts w:hint="eastAsia" w:ascii="宋体" w:hAnsi="宋体" w:eastAsia="宋体" w:cs="宋体"/>
                <w:spacing w:val="9"/>
              </w:rPr>
              <w:t>地形坡度</w:t>
            </w:r>
          </w:p>
        </w:tc>
        <w:tc>
          <w:tcPr>
            <w:tcW w:w="1935" w:type="dxa"/>
          </w:tcPr>
          <w:p w14:paraId="16D22574">
            <w:pPr>
              <w:kinsoku/>
              <w:adjustRightInd/>
              <w:snapToGrid/>
              <w:jc w:val="center"/>
              <w:rPr>
                <w:rFonts w:hint="eastAsia" w:ascii="宋体" w:hAnsi="宋体" w:eastAsia="宋体" w:cs="宋体"/>
              </w:rPr>
            </w:pPr>
            <w:r>
              <w:rPr>
                <w:rFonts w:hint="eastAsia" w:ascii="宋体" w:hAnsi="宋体" w:eastAsia="宋体" w:cs="宋体"/>
              </w:rPr>
              <w:t>1</w:t>
            </w:r>
          </w:p>
        </w:tc>
        <w:tc>
          <w:tcPr>
            <w:tcW w:w="2055" w:type="dxa"/>
          </w:tcPr>
          <w:p w14:paraId="16F384D2">
            <w:pPr>
              <w:kinsoku/>
              <w:adjustRightInd/>
              <w:snapToGrid/>
              <w:jc w:val="center"/>
              <w:rPr>
                <w:rFonts w:hint="eastAsia" w:ascii="宋体" w:hAnsi="宋体" w:eastAsia="宋体" w:cs="宋体"/>
              </w:rPr>
            </w:pPr>
            <w:r>
              <w:rPr>
                <w:rFonts w:hint="eastAsia" w:ascii="宋体" w:hAnsi="宋体" w:eastAsia="宋体" w:cs="宋体"/>
                <w:spacing w:val="-10"/>
              </w:rPr>
              <w:t>12</w:t>
            </w:r>
          </w:p>
        </w:tc>
        <w:tc>
          <w:tcPr>
            <w:tcW w:w="2595" w:type="dxa"/>
          </w:tcPr>
          <w:p w14:paraId="173B302D">
            <w:pPr>
              <w:kinsoku/>
              <w:adjustRightInd/>
              <w:snapToGrid/>
              <w:jc w:val="center"/>
              <w:rPr>
                <w:rFonts w:hint="eastAsia" w:ascii="宋体" w:hAnsi="宋体" w:eastAsia="宋体" w:cs="宋体"/>
                <w:lang w:eastAsia="zh-CN"/>
              </w:rPr>
            </w:pPr>
            <w:r>
              <w:rPr>
                <w:rFonts w:hint="eastAsia" w:ascii="宋体" w:hAnsi="宋体" w:eastAsia="宋体" w:cs="宋体"/>
                <w:spacing w:val="1"/>
                <w:lang w:val="en-US" w:eastAsia="zh-CN"/>
              </w:rPr>
              <w:t>5</w:t>
            </w:r>
          </w:p>
        </w:tc>
      </w:tr>
      <w:tr w14:paraId="75FCC4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trPr>
        <w:tc>
          <w:tcPr>
            <w:tcW w:w="1706" w:type="dxa"/>
          </w:tcPr>
          <w:p w14:paraId="172CC7D3">
            <w:pPr>
              <w:kinsoku/>
              <w:adjustRightInd/>
              <w:snapToGrid/>
              <w:jc w:val="center"/>
              <w:rPr>
                <w:rFonts w:hint="eastAsia" w:ascii="宋体" w:hAnsi="宋体" w:eastAsia="宋体" w:cs="宋体"/>
              </w:rPr>
            </w:pPr>
            <w:r>
              <w:rPr>
                <w:rFonts w:hint="eastAsia" w:ascii="宋体" w:hAnsi="宋体" w:eastAsia="宋体" w:cs="宋体"/>
                <w:spacing w:val="13"/>
              </w:rPr>
              <w:t>有效土层厚度</w:t>
            </w:r>
          </w:p>
        </w:tc>
        <w:tc>
          <w:tcPr>
            <w:tcW w:w="1935" w:type="dxa"/>
          </w:tcPr>
          <w:p w14:paraId="2BFA96D6">
            <w:pPr>
              <w:kinsoku/>
              <w:adjustRightInd/>
              <w:snapToGrid/>
              <w:jc w:val="center"/>
              <w:rPr>
                <w:rFonts w:hint="eastAsia" w:ascii="宋体" w:hAnsi="宋体" w:eastAsia="宋体" w:cs="宋体"/>
              </w:rPr>
            </w:pPr>
            <w:r>
              <w:rPr>
                <w:rFonts w:hint="eastAsia" w:ascii="宋体" w:hAnsi="宋体" w:eastAsia="宋体" w:cs="宋体"/>
              </w:rPr>
              <w:t>1</w:t>
            </w:r>
          </w:p>
        </w:tc>
        <w:tc>
          <w:tcPr>
            <w:tcW w:w="2055" w:type="dxa"/>
          </w:tcPr>
          <w:p w14:paraId="47795786">
            <w:pPr>
              <w:kinsoku/>
              <w:adjustRightInd/>
              <w:snapToGrid/>
              <w:jc w:val="center"/>
              <w:rPr>
                <w:rFonts w:hint="eastAsia" w:ascii="宋体" w:hAnsi="宋体" w:eastAsia="宋体" w:cs="宋体"/>
              </w:rPr>
            </w:pPr>
            <w:r>
              <w:rPr>
                <w:rFonts w:hint="eastAsia" w:ascii="宋体" w:hAnsi="宋体" w:eastAsia="宋体" w:cs="宋体"/>
                <w:spacing w:val="-10"/>
              </w:rPr>
              <w:t>12</w:t>
            </w:r>
          </w:p>
        </w:tc>
        <w:tc>
          <w:tcPr>
            <w:tcW w:w="2595" w:type="dxa"/>
          </w:tcPr>
          <w:p w14:paraId="151F89F9">
            <w:pPr>
              <w:kinsoku/>
              <w:adjustRightInd/>
              <w:snapToGrid/>
              <w:jc w:val="center"/>
              <w:rPr>
                <w:rFonts w:hint="eastAsia" w:ascii="宋体" w:hAnsi="宋体" w:eastAsia="宋体" w:cs="宋体"/>
              </w:rPr>
            </w:pPr>
            <w:r>
              <w:rPr>
                <w:rFonts w:hint="eastAsia" w:ascii="宋体" w:hAnsi="宋体" w:eastAsia="宋体" w:cs="宋体"/>
                <w:spacing w:val="1"/>
                <w:lang w:val="en-US" w:eastAsia="zh-CN"/>
              </w:rPr>
              <w:t>5</w:t>
            </w:r>
          </w:p>
        </w:tc>
      </w:tr>
      <w:tr w14:paraId="1DCBC1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 w:hRule="atLeast"/>
        </w:trPr>
        <w:tc>
          <w:tcPr>
            <w:tcW w:w="1706" w:type="dxa"/>
          </w:tcPr>
          <w:p w14:paraId="7D0032A4">
            <w:pPr>
              <w:kinsoku/>
              <w:adjustRightInd/>
              <w:snapToGrid/>
              <w:jc w:val="center"/>
              <w:rPr>
                <w:rFonts w:hint="eastAsia" w:ascii="宋体" w:hAnsi="宋体" w:eastAsia="宋体" w:cs="宋体"/>
              </w:rPr>
            </w:pPr>
            <w:r>
              <w:rPr>
                <w:rFonts w:hint="eastAsia" w:ascii="宋体" w:hAnsi="宋体" w:eastAsia="宋体" w:cs="宋体"/>
                <w:spacing w:val="9"/>
              </w:rPr>
              <w:t>土壤质地</w:t>
            </w:r>
          </w:p>
        </w:tc>
        <w:tc>
          <w:tcPr>
            <w:tcW w:w="1935" w:type="dxa"/>
          </w:tcPr>
          <w:p w14:paraId="0BA3B47E">
            <w:pPr>
              <w:kinsoku/>
              <w:adjustRightInd/>
              <w:snapToGrid/>
              <w:jc w:val="center"/>
              <w:rPr>
                <w:rFonts w:hint="eastAsia" w:ascii="宋体" w:hAnsi="宋体" w:eastAsia="宋体" w:cs="宋体"/>
              </w:rPr>
            </w:pPr>
            <w:r>
              <w:rPr>
                <w:rFonts w:hint="eastAsia" w:ascii="宋体" w:hAnsi="宋体" w:eastAsia="宋体" w:cs="宋体"/>
              </w:rPr>
              <w:t>1</w:t>
            </w:r>
          </w:p>
        </w:tc>
        <w:tc>
          <w:tcPr>
            <w:tcW w:w="2055" w:type="dxa"/>
          </w:tcPr>
          <w:p w14:paraId="22500371">
            <w:pPr>
              <w:kinsoku/>
              <w:adjustRightInd/>
              <w:snapToGrid/>
              <w:jc w:val="center"/>
              <w:rPr>
                <w:rFonts w:hint="eastAsia" w:ascii="宋体" w:hAnsi="宋体" w:eastAsia="宋体" w:cs="宋体"/>
              </w:rPr>
            </w:pPr>
            <w:r>
              <w:rPr>
                <w:rFonts w:hint="eastAsia" w:ascii="宋体" w:hAnsi="宋体" w:eastAsia="宋体" w:cs="宋体"/>
                <w:spacing w:val="-10"/>
              </w:rPr>
              <w:t>12</w:t>
            </w:r>
          </w:p>
        </w:tc>
        <w:tc>
          <w:tcPr>
            <w:tcW w:w="2595" w:type="dxa"/>
          </w:tcPr>
          <w:p w14:paraId="72A0CC55">
            <w:pPr>
              <w:kinsoku/>
              <w:adjustRightInd/>
              <w:snapToGrid/>
              <w:jc w:val="center"/>
              <w:rPr>
                <w:rFonts w:hint="eastAsia" w:ascii="宋体" w:hAnsi="宋体" w:eastAsia="宋体" w:cs="宋体"/>
              </w:rPr>
            </w:pPr>
            <w:r>
              <w:rPr>
                <w:rFonts w:hint="eastAsia" w:ascii="宋体" w:hAnsi="宋体" w:eastAsia="宋体" w:cs="宋体"/>
                <w:spacing w:val="1"/>
                <w:lang w:val="en-US" w:eastAsia="zh-CN"/>
              </w:rPr>
              <w:t>5</w:t>
            </w:r>
          </w:p>
        </w:tc>
      </w:tr>
    </w:tbl>
    <w:p w14:paraId="2AFF072F">
      <w:pPr>
        <w:kinsoku/>
        <w:adjustRightInd/>
        <w:snapToGrid/>
        <w:spacing w:line="360" w:lineRule="auto"/>
        <w:ind w:firstLine="576" w:firstLineChars="200"/>
        <w:jc w:val="both"/>
        <w:rPr>
          <w:rFonts w:hint="eastAsia" w:ascii="宋体" w:hAnsi="宋体" w:eastAsia="宋体" w:cs="宋体"/>
          <w:spacing w:val="4"/>
          <w:sz w:val="28"/>
          <w:szCs w:val="28"/>
          <w:lang w:eastAsia="zh-CN"/>
        </w:rPr>
      </w:pPr>
      <w:bookmarkStart w:id="258" w:name="bookmark287"/>
      <w:bookmarkEnd w:id="258"/>
      <w:r>
        <w:rPr>
          <w:rFonts w:hint="eastAsia" w:ascii="宋体" w:hAnsi="宋体" w:eastAsia="宋体" w:cs="宋体"/>
          <w:spacing w:val="4"/>
          <w:sz w:val="28"/>
          <w:szCs w:val="28"/>
          <w:lang w:eastAsia="zh-CN"/>
        </w:rPr>
        <w:t>⑶修复监测工程量统计</w:t>
      </w:r>
    </w:p>
    <w:p w14:paraId="14C35ADD">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根据修复效果各自监测点数量、监测频率和监测期限，计算可获得修复效果监测的次数。具体见表5-3生态修复监测工程量统计表。</w:t>
      </w:r>
    </w:p>
    <w:p w14:paraId="25817A06">
      <w:pPr>
        <w:spacing w:before="3" w:line="227" w:lineRule="auto"/>
        <w:jc w:val="center"/>
        <w:rPr>
          <w:rFonts w:hint="eastAsia" w:ascii="宋体" w:hAnsi="宋体" w:eastAsia="宋体" w:cs="宋体"/>
          <w:b/>
          <w:bCs/>
          <w:spacing w:val="6"/>
          <w:sz w:val="21"/>
          <w:szCs w:val="21"/>
          <w:lang w:eastAsia="zh-CN"/>
        </w:rPr>
      </w:pPr>
      <w:r>
        <w:rPr>
          <w:rFonts w:hint="eastAsia" w:ascii="宋体" w:hAnsi="宋体" w:eastAsia="宋体" w:cs="宋体"/>
          <w:b/>
          <w:bCs/>
          <w:spacing w:val="6"/>
          <w:sz w:val="21"/>
          <w:szCs w:val="21"/>
          <w:lang w:eastAsia="zh-CN"/>
        </w:rPr>
        <w:t>表5-3  生态修复监测工程量统计表</w:t>
      </w:r>
    </w:p>
    <w:tbl>
      <w:tblPr>
        <w:tblStyle w:val="22"/>
        <w:tblW w:w="830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5"/>
        <w:gridCol w:w="1991"/>
        <w:gridCol w:w="2095"/>
        <w:gridCol w:w="1162"/>
        <w:gridCol w:w="2103"/>
      </w:tblGrid>
      <w:tr w14:paraId="6B9912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955" w:type="dxa"/>
          </w:tcPr>
          <w:p w14:paraId="7332F252">
            <w:pPr>
              <w:spacing w:before="83" w:line="231" w:lineRule="auto"/>
              <w:ind w:left="289"/>
              <w:rPr>
                <w:rFonts w:hint="eastAsia" w:ascii="宋体" w:hAnsi="宋体" w:eastAsia="宋体" w:cs="宋体"/>
                <w:sz w:val="21"/>
                <w:szCs w:val="21"/>
              </w:rPr>
            </w:pPr>
            <w:r>
              <w:rPr>
                <w:rFonts w:hint="eastAsia" w:ascii="宋体" w:hAnsi="宋体" w:eastAsia="宋体" w:cs="宋体"/>
                <w:spacing w:val="3"/>
                <w:sz w:val="21"/>
                <w:szCs w:val="21"/>
              </w:rPr>
              <w:t>序号</w:t>
            </w:r>
          </w:p>
        </w:tc>
        <w:tc>
          <w:tcPr>
            <w:tcW w:w="1991" w:type="dxa"/>
          </w:tcPr>
          <w:p w14:paraId="04873232">
            <w:pPr>
              <w:spacing w:before="85" w:line="232" w:lineRule="auto"/>
              <w:ind w:left="607"/>
              <w:rPr>
                <w:rFonts w:hint="eastAsia" w:ascii="宋体" w:hAnsi="宋体" w:eastAsia="宋体" w:cs="宋体"/>
                <w:sz w:val="21"/>
                <w:szCs w:val="21"/>
              </w:rPr>
            </w:pPr>
            <w:r>
              <w:rPr>
                <w:rFonts w:hint="eastAsia" w:ascii="宋体" w:hAnsi="宋体" w:eastAsia="宋体" w:cs="宋体"/>
                <w:spacing w:val="8"/>
                <w:sz w:val="21"/>
                <w:szCs w:val="21"/>
              </w:rPr>
              <w:t>监测类别</w:t>
            </w:r>
          </w:p>
        </w:tc>
        <w:tc>
          <w:tcPr>
            <w:tcW w:w="2095" w:type="dxa"/>
          </w:tcPr>
          <w:p w14:paraId="519D6C20">
            <w:pPr>
              <w:spacing w:before="83" w:line="230" w:lineRule="auto"/>
              <w:ind w:left="868"/>
              <w:rPr>
                <w:rFonts w:hint="eastAsia" w:ascii="宋体" w:hAnsi="宋体" w:eastAsia="宋体" w:cs="宋体"/>
                <w:sz w:val="21"/>
                <w:szCs w:val="21"/>
              </w:rPr>
            </w:pPr>
            <w:r>
              <w:rPr>
                <w:rFonts w:hint="eastAsia" w:ascii="宋体" w:hAnsi="宋体" w:eastAsia="宋体" w:cs="宋体"/>
                <w:sz w:val="21"/>
                <w:szCs w:val="21"/>
              </w:rPr>
              <w:t>单位</w:t>
            </w:r>
          </w:p>
        </w:tc>
        <w:tc>
          <w:tcPr>
            <w:tcW w:w="1162" w:type="dxa"/>
          </w:tcPr>
          <w:p w14:paraId="1F49D7CD">
            <w:pPr>
              <w:spacing w:before="85" w:line="232" w:lineRule="auto"/>
              <w:ind w:left="395"/>
              <w:rPr>
                <w:rFonts w:hint="eastAsia" w:ascii="宋体" w:hAnsi="宋体" w:eastAsia="宋体" w:cs="宋体"/>
                <w:sz w:val="21"/>
                <w:szCs w:val="21"/>
              </w:rPr>
            </w:pPr>
            <w:r>
              <w:rPr>
                <w:rFonts w:hint="eastAsia" w:ascii="宋体" w:hAnsi="宋体" w:eastAsia="宋体" w:cs="宋体"/>
                <w:spacing w:val="4"/>
                <w:sz w:val="21"/>
                <w:szCs w:val="21"/>
              </w:rPr>
              <w:t>数量</w:t>
            </w:r>
          </w:p>
        </w:tc>
        <w:tc>
          <w:tcPr>
            <w:tcW w:w="2103" w:type="dxa"/>
          </w:tcPr>
          <w:p w14:paraId="6EE89495">
            <w:pPr>
              <w:spacing w:before="86" w:line="233" w:lineRule="auto"/>
              <w:ind w:left="978"/>
              <w:rPr>
                <w:rFonts w:hint="eastAsia" w:ascii="宋体" w:hAnsi="宋体" w:eastAsia="宋体" w:cs="宋体"/>
                <w:sz w:val="21"/>
                <w:szCs w:val="21"/>
              </w:rPr>
            </w:pPr>
            <w:r>
              <w:rPr>
                <w:rFonts w:hint="eastAsia" w:ascii="宋体" w:hAnsi="宋体" w:eastAsia="宋体" w:cs="宋体"/>
                <w:spacing w:val="2"/>
                <w:sz w:val="21"/>
                <w:szCs w:val="21"/>
              </w:rPr>
              <w:t>备注</w:t>
            </w:r>
          </w:p>
        </w:tc>
      </w:tr>
      <w:tr w14:paraId="7CEE03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955" w:type="dxa"/>
          </w:tcPr>
          <w:p w14:paraId="6A6430C4">
            <w:pPr>
              <w:spacing w:before="169" w:line="195" w:lineRule="auto"/>
              <w:ind w:left="429"/>
              <w:rPr>
                <w:rFonts w:hint="eastAsia" w:ascii="宋体" w:hAnsi="宋体" w:eastAsia="宋体" w:cs="宋体"/>
                <w:sz w:val="21"/>
                <w:szCs w:val="21"/>
                <w:lang w:eastAsia="zh-CN"/>
              </w:rPr>
            </w:pPr>
            <w:r>
              <w:rPr>
                <w:rFonts w:hint="eastAsia" w:ascii="宋体" w:hAnsi="宋体" w:eastAsia="宋体" w:cs="宋体"/>
                <w:sz w:val="21"/>
                <w:szCs w:val="21"/>
                <w:lang w:eastAsia="zh-CN"/>
              </w:rPr>
              <w:t>1</w:t>
            </w:r>
          </w:p>
        </w:tc>
        <w:tc>
          <w:tcPr>
            <w:tcW w:w="1991" w:type="dxa"/>
          </w:tcPr>
          <w:p w14:paraId="20AFBB54">
            <w:pPr>
              <w:spacing w:before="142" w:line="232" w:lineRule="auto"/>
              <w:ind w:left="390"/>
              <w:rPr>
                <w:rFonts w:hint="eastAsia" w:ascii="宋体" w:hAnsi="宋体" w:eastAsia="宋体" w:cs="宋体"/>
                <w:sz w:val="21"/>
                <w:szCs w:val="21"/>
              </w:rPr>
            </w:pPr>
            <w:r>
              <w:rPr>
                <w:rFonts w:hint="eastAsia" w:ascii="宋体" w:hAnsi="宋体" w:eastAsia="宋体" w:cs="宋体"/>
                <w:spacing w:val="12"/>
                <w:sz w:val="21"/>
                <w:szCs w:val="21"/>
              </w:rPr>
              <w:t>土壤质量监测</w:t>
            </w:r>
          </w:p>
        </w:tc>
        <w:tc>
          <w:tcPr>
            <w:tcW w:w="2095" w:type="dxa"/>
          </w:tcPr>
          <w:p w14:paraId="10B23D1E">
            <w:pPr>
              <w:spacing w:before="142" w:line="232" w:lineRule="auto"/>
              <w:ind w:left="964"/>
              <w:rPr>
                <w:rFonts w:hint="eastAsia" w:ascii="宋体" w:hAnsi="宋体" w:eastAsia="宋体" w:cs="宋体"/>
                <w:sz w:val="21"/>
                <w:szCs w:val="21"/>
              </w:rPr>
            </w:pPr>
            <w:r>
              <w:rPr>
                <w:rFonts w:hint="eastAsia" w:ascii="宋体" w:hAnsi="宋体" w:eastAsia="宋体" w:cs="宋体"/>
                <w:sz w:val="21"/>
                <w:szCs w:val="21"/>
              </w:rPr>
              <w:t>次</w:t>
            </w:r>
          </w:p>
        </w:tc>
        <w:tc>
          <w:tcPr>
            <w:tcW w:w="1162" w:type="dxa"/>
          </w:tcPr>
          <w:p w14:paraId="20DF52D6">
            <w:pPr>
              <w:spacing w:before="169" w:line="195" w:lineRule="auto"/>
              <w:ind w:left="434"/>
              <w:rPr>
                <w:rFonts w:hint="eastAsia" w:ascii="宋体" w:hAnsi="宋体" w:eastAsia="宋体" w:cs="宋体"/>
                <w:sz w:val="21"/>
                <w:szCs w:val="21"/>
                <w:lang w:val="en-US" w:eastAsia="zh-CN"/>
              </w:rPr>
            </w:pPr>
            <w:r>
              <w:rPr>
                <w:rFonts w:hint="eastAsia" w:ascii="宋体" w:hAnsi="宋体" w:eastAsia="宋体" w:cs="宋体"/>
                <w:spacing w:val="4"/>
                <w:sz w:val="21"/>
                <w:szCs w:val="21"/>
                <w:lang w:val="en-US" w:eastAsia="zh-CN"/>
              </w:rPr>
              <w:t>420</w:t>
            </w:r>
          </w:p>
        </w:tc>
        <w:tc>
          <w:tcPr>
            <w:tcW w:w="2103" w:type="dxa"/>
          </w:tcPr>
          <w:p w14:paraId="3279924B">
            <w:pPr>
              <w:spacing w:before="139" w:line="231" w:lineRule="auto"/>
              <w:ind w:left="379"/>
              <w:rPr>
                <w:rFonts w:hint="eastAsia" w:ascii="宋体" w:hAnsi="宋体" w:eastAsia="宋体" w:cs="宋体"/>
                <w:sz w:val="21"/>
                <w:szCs w:val="21"/>
              </w:rPr>
            </w:pPr>
            <w:r>
              <w:rPr>
                <w:rFonts w:hint="eastAsia" w:ascii="宋体" w:hAnsi="宋体" w:eastAsia="宋体" w:cs="宋体"/>
                <w:sz w:val="21"/>
                <w:szCs w:val="21"/>
              </w:rPr>
              <w:t>12个点×</w:t>
            </w:r>
            <w:r>
              <w:rPr>
                <w:rFonts w:hint="eastAsia" w:ascii="宋体" w:hAnsi="宋体" w:eastAsia="宋体" w:cs="宋体"/>
                <w:sz w:val="21"/>
                <w:szCs w:val="21"/>
                <w:lang w:val="en-US" w:eastAsia="zh-CN"/>
              </w:rPr>
              <w:t>5</w:t>
            </w:r>
            <w:r>
              <w:rPr>
                <w:rFonts w:hint="eastAsia" w:ascii="宋体" w:hAnsi="宋体" w:eastAsia="宋体" w:cs="宋体"/>
                <w:sz w:val="21"/>
                <w:szCs w:val="21"/>
              </w:rPr>
              <w:t>年×7项</w:t>
            </w:r>
          </w:p>
        </w:tc>
      </w:tr>
    </w:tbl>
    <w:p w14:paraId="52114D5C">
      <w:pPr>
        <w:pStyle w:val="3"/>
        <w:keepNext w:val="0"/>
        <w:keepLines w:val="0"/>
        <w:widowControl w:val="0"/>
        <w:adjustRightInd/>
        <w:snapToGrid/>
        <w:spacing w:before="0" w:after="0" w:line="360" w:lineRule="auto"/>
        <w:rPr>
          <w:b w:val="0"/>
          <w:bCs/>
          <w:lang w:eastAsia="zh-CN"/>
        </w:rPr>
      </w:pPr>
      <w:bookmarkStart w:id="259" w:name="bookmark188"/>
      <w:bookmarkEnd w:id="259"/>
      <w:bookmarkStart w:id="260" w:name="bookmark189"/>
      <w:bookmarkEnd w:id="260"/>
      <w:bookmarkStart w:id="261" w:name="_Toc23195"/>
      <w:r>
        <w:rPr>
          <w:rFonts w:hint="eastAsia"/>
          <w:b w:val="0"/>
          <w:bCs/>
          <w:lang w:eastAsia="zh-CN"/>
        </w:rPr>
        <w:t>三、管护目标与措施</w:t>
      </w:r>
      <w:bookmarkEnd w:id="261"/>
    </w:p>
    <w:p w14:paraId="7CD1A027">
      <w:pPr>
        <w:kinsoku/>
        <w:adjustRightInd/>
        <w:snapToGrid/>
        <w:spacing w:line="360" w:lineRule="auto"/>
        <w:ind w:firstLine="576" w:firstLineChars="200"/>
        <w:jc w:val="both"/>
        <w:rPr>
          <w:rFonts w:hint="eastAsia" w:ascii="宋体" w:hAnsi="宋体" w:eastAsia="宋体" w:cs="宋体"/>
          <w:sz w:val="28"/>
          <w:szCs w:val="28"/>
          <w:lang w:eastAsia="zh-CN"/>
        </w:rPr>
      </w:pPr>
      <w:r>
        <w:rPr>
          <w:rFonts w:hint="eastAsia" w:ascii="宋体" w:hAnsi="宋体" w:eastAsia="宋体" w:cs="宋体"/>
          <w:spacing w:val="4"/>
          <w:sz w:val="28"/>
          <w:szCs w:val="28"/>
          <w:lang w:eastAsia="zh-CN"/>
        </w:rPr>
        <w:t>管护措施是生态修复综合效用发挥的重要保障手段，管护措施应该与修复措施相适应。结合矿区修复方向及主要修复工程内容，设置相应的管护措施。结合矿区实际情况，修复方向为沙地，因此本项目无需采取管护措施。</w:t>
      </w:r>
    </w:p>
    <w:p w14:paraId="10FA014A">
      <w:pPr>
        <w:spacing w:line="233" w:lineRule="auto"/>
        <w:rPr>
          <w:rFonts w:hint="eastAsia" w:ascii="宋体" w:hAnsi="宋体" w:eastAsia="宋体" w:cs="宋体"/>
          <w:sz w:val="28"/>
          <w:szCs w:val="28"/>
          <w:lang w:eastAsia="zh-CN"/>
        </w:rPr>
        <w:sectPr>
          <w:pgSz w:w="11905" w:h="16839"/>
          <w:pgMar w:top="1440" w:right="1800" w:bottom="1440" w:left="1800" w:header="680" w:footer="850" w:gutter="0"/>
          <w:cols w:space="720" w:num="1"/>
        </w:sectPr>
      </w:pPr>
    </w:p>
    <w:p w14:paraId="621036F1">
      <w:pPr>
        <w:pStyle w:val="2"/>
        <w:keepNext w:val="0"/>
        <w:keepLines w:val="0"/>
        <w:widowControl w:val="0"/>
        <w:kinsoku/>
        <w:spacing w:before="0" w:after="0" w:line="360" w:lineRule="auto"/>
        <w:jc w:val="center"/>
        <w:rPr>
          <w:rFonts w:hint="eastAsia" w:ascii="黑体" w:hAnsi="黑体" w:eastAsia="黑体" w:cs="黑体"/>
          <w:b w:val="0"/>
          <w:bCs/>
          <w:sz w:val="32"/>
          <w:szCs w:val="32"/>
          <w:lang w:eastAsia="zh-CN"/>
        </w:rPr>
      </w:pPr>
      <w:bookmarkStart w:id="262" w:name="bookmark192"/>
      <w:bookmarkEnd w:id="262"/>
      <w:bookmarkStart w:id="263" w:name="bookmark191"/>
      <w:bookmarkEnd w:id="263"/>
      <w:bookmarkStart w:id="264" w:name="bookmark190"/>
      <w:bookmarkEnd w:id="264"/>
      <w:bookmarkStart w:id="265" w:name="bookmark193"/>
      <w:bookmarkEnd w:id="265"/>
      <w:bookmarkStart w:id="266" w:name="_Toc23068"/>
      <w:r>
        <w:rPr>
          <w:rFonts w:hint="eastAsia" w:ascii="黑体" w:hAnsi="黑体" w:eastAsia="黑体" w:cs="黑体"/>
          <w:b w:val="0"/>
          <w:bCs/>
          <w:sz w:val="32"/>
          <w:szCs w:val="32"/>
          <w:lang w:eastAsia="zh-CN"/>
        </w:rPr>
        <w:t>第六章  工作部署与经费估算</w:t>
      </w:r>
      <w:bookmarkEnd w:id="266"/>
    </w:p>
    <w:p w14:paraId="2318AB32">
      <w:pPr>
        <w:pStyle w:val="3"/>
        <w:keepNext w:val="0"/>
        <w:keepLines w:val="0"/>
        <w:widowControl w:val="0"/>
        <w:adjustRightInd/>
        <w:snapToGrid/>
        <w:spacing w:before="0" w:after="0" w:line="360" w:lineRule="auto"/>
        <w:rPr>
          <w:b w:val="0"/>
          <w:bCs/>
          <w:lang w:eastAsia="zh-CN"/>
        </w:rPr>
      </w:pPr>
      <w:bookmarkStart w:id="267" w:name="bookmark289"/>
      <w:bookmarkEnd w:id="267"/>
      <w:bookmarkStart w:id="268" w:name="_Toc3998"/>
      <w:r>
        <w:rPr>
          <w:rFonts w:hint="eastAsia"/>
          <w:b w:val="0"/>
          <w:bCs/>
          <w:lang w:eastAsia="zh-CN"/>
        </w:rPr>
        <w:t>一、总体部署</w:t>
      </w:r>
      <w:bookmarkEnd w:id="268"/>
    </w:p>
    <w:p w14:paraId="046C695F">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该矿山生态环境修复，既要统筹兼顾全面部署，又要结合实际、突出重点，集中有限资金，采取科学、经济、合理的方法，分轻、重、缓、急地逐步完成。最终达到地貌景观在视觉和地质环境安全上基本保持原貌。在时间部署上，矿山开采和生态环境问题修复应尽可能同步进行；在空间布局上，把不安全隐患作为生态修复的重点。对采矿场地面积约为</w:t>
      </w:r>
      <w:r>
        <w:rPr>
          <w:rFonts w:hint="eastAsia" w:ascii="宋体" w:hAnsi="宋体" w:eastAsia="宋体" w:cs="宋体"/>
          <w:spacing w:val="4"/>
          <w:sz w:val="28"/>
          <w:szCs w:val="28"/>
          <w:lang w:val="en-US" w:eastAsia="zh-CN"/>
        </w:rPr>
        <w:t>100</w:t>
      </w:r>
      <w:r>
        <w:rPr>
          <w:rFonts w:hint="eastAsia" w:ascii="宋体" w:hAnsi="宋体" w:eastAsia="宋体" w:cs="宋体"/>
          <w:spacing w:val="4"/>
          <w:sz w:val="28"/>
          <w:szCs w:val="28"/>
          <w:lang w:eastAsia="zh-CN"/>
        </w:rPr>
        <w:t>hm</w:t>
      </w:r>
      <w:r>
        <w:rPr>
          <w:rFonts w:hint="eastAsia" w:ascii="宋体" w:hAnsi="宋体" w:eastAsia="宋体" w:cs="宋体"/>
          <w:spacing w:val="4"/>
          <w:sz w:val="28"/>
          <w:szCs w:val="28"/>
          <w:vertAlign w:val="superscript"/>
          <w:lang w:eastAsia="zh-CN"/>
        </w:rPr>
        <w:t>2</w:t>
      </w:r>
      <w:r>
        <w:rPr>
          <w:rFonts w:hint="eastAsia" w:ascii="宋体" w:hAnsi="宋体" w:eastAsia="宋体" w:cs="宋体"/>
          <w:spacing w:val="4"/>
          <w:sz w:val="28"/>
          <w:szCs w:val="28"/>
          <w:lang w:eastAsia="zh-CN"/>
        </w:rPr>
        <w:t>的挖损、压占土地在矿山开采结束后完成生态环境修复工程。</w:t>
      </w:r>
    </w:p>
    <w:p w14:paraId="4E130A92">
      <w:pPr>
        <w:pStyle w:val="3"/>
        <w:keepNext w:val="0"/>
        <w:keepLines w:val="0"/>
        <w:widowControl w:val="0"/>
        <w:adjustRightInd/>
        <w:snapToGrid/>
        <w:spacing w:before="0" w:after="0" w:line="360" w:lineRule="auto"/>
        <w:rPr>
          <w:b w:val="0"/>
          <w:bCs/>
          <w:lang w:eastAsia="zh-CN"/>
        </w:rPr>
      </w:pPr>
      <w:bookmarkStart w:id="269" w:name="bookmark195"/>
      <w:bookmarkEnd w:id="269"/>
      <w:bookmarkStart w:id="270" w:name="bookmark194"/>
      <w:bookmarkEnd w:id="270"/>
      <w:bookmarkStart w:id="271" w:name="_Toc2675"/>
      <w:r>
        <w:rPr>
          <w:rFonts w:hint="eastAsia"/>
          <w:b w:val="0"/>
          <w:bCs/>
          <w:lang w:eastAsia="zh-CN"/>
        </w:rPr>
        <w:t>二、总体经费估算</w:t>
      </w:r>
      <w:bookmarkEnd w:id="271"/>
    </w:p>
    <w:p w14:paraId="4B89718F">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72" w:name="bookmark197"/>
      <w:bookmarkEnd w:id="272"/>
      <w:bookmarkStart w:id="273" w:name="bookmark196"/>
      <w:bookmarkEnd w:id="273"/>
      <w:bookmarkStart w:id="274" w:name="_Toc15172"/>
      <w:bookmarkStart w:id="275" w:name="_Toc24980"/>
      <w:r>
        <w:rPr>
          <w:rFonts w:hint="eastAsia" w:ascii="宋体" w:hAnsi="宋体" w:eastAsia="宋体" w:cs="宋体"/>
          <w:sz w:val="28"/>
          <w:szCs w:val="28"/>
          <w:lang w:eastAsia="zh-CN"/>
        </w:rPr>
        <w:t>（一）经费估算依据</w:t>
      </w:r>
      <w:bookmarkEnd w:id="274"/>
      <w:bookmarkEnd w:id="275"/>
    </w:p>
    <w:p w14:paraId="72D651B7">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1、经费估算依据</w:t>
      </w:r>
    </w:p>
    <w:p w14:paraId="2309C05C">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⑴编制方法</w:t>
      </w:r>
    </w:p>
    <w:p w14:paraId="48254C08">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根据《青海省水利工程设计概（估）算编制规定》（青水建〔2015〕512号）文件以及办财务函〔2019〕448号—水利部办公厅关于调整水利工程计价依据增值税计算标准的通知规定进行计算。</w:t>
      </w:r>
    </w:p>
    <w:p w14:paraId="59E2BB1A">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⑵计算标准</w:t>
      </w:r>
    </w:p>
    <w:p w14:paraId="6A30B95F">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根据《青海省水利工程设计概（估）算编制规定》（青水建〔2015〕512号）文件规定进行计算。</w:t>
      </w:r>
    </w:p>
    <w:p w14:paraId="6A44650D">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⑶使用定额</w:t>
      </w:r>
    </w:p>
    <w:p w14:paraId="5CE58102">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建筑工程：采用青海省水利厅2009年颁发的《青海水利水电建筑工程预算定额》；</w:t>
      </w:r>
    </w:p>
    <w:p w14:paraId="6B930908">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施工机械台班费：采用青海省水利厅2009年颁发的《青海省水利水电建筑工程施工机械台班定额》；</w:t>
      </w:r>
    </w:p>
    <w:p w14:paraId="02CE79E9">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当地海拔高程在</w:t>
      </w:r>
      <w:r>
        <w:rPr>
          <w:rFonts w:hint="eastAsia" w:ascii="宋体" w:hAnsi="宋体" w:eastAsia="宋体" w:cs="宋体"/>
          <w:spacing w:val="4"/>
          <w:sz w:val="28"/>
          <w:szCs w:val="28"/>
          <w:lang w:val="en-US" w:eastAsia="zh-CN"/>
        </w:rPr>
        <w:t>25</w:t>
      </w:r>
      <w:r>
        <w:rPr>
          <w:rFonts w:hint="eastAsia" w:ascii="宋体" w:hAnsi="宋体" w:eastAsia="宋体" w:cs="宋体"/>
          <w:spacing w:val="4"/>
          <w:sz w:val="28"/>
          <w:szCs w:val="28"/>
          <w:lang w:eastAsia="zh-CN"/>
        </w:rPr>
        <w:t>00--3</w:t>
      </w:r>
      <w:r>
        <w:rPr>
          <w:rFonts w:hint="eastAsia" w:ascii="宋体" w:hAnsi="宋体" w:eastAsia="宋体" w:cs="宋体"/>
          <w:spacing w:val="4"/>
          <w:sz w:val="28"/>
          <w:szCs w:val="28"/>
          <w:lang w:val="en-US" w:eastAsia="zh-CN"/>
        </w:rPr>
        <w:t>0</w:t>
      </w:r>
      <w:r>
        <w:rPr>
          <w:rFonts w:hint="eastAsia" w:ascii="宋体" w:hAnsi="宋体" w:eastAsia="宋体" w:cs="宋体"/>
          <w:spacing w:val="4"/>
          <w:sz w:val="28"/>
          <w:szCs w:val="28"/>
          <w:lang w:eastAsia="zh-CN"/>
        </w:rPr>
        <w:t>00米之间，定额人工和机械分别增加1.</w:t>
      </w:r>
      <w:r>
        <w:rPr>
          <w:rFonts w:hint="eastAsia" w:ascii="宋体" w:hAnsi="宋体" w:eastAsia="宋体" w:cs="宋体"/>
          <w:spacing w:val="4"/>
          <w:sz w:val="28"/>
          <w:szCs w:val="28"/>
          <w:lang w:val="en-US" w:eastAsia="zh-CN"/>
        </w:rPr>
        <w:t>1</w:t>
      </w:r>
      <w:r>
        <w:rPr>
          <w:rFonts w:hint="eastAsia" w:ascii="宋体" w:hAnsi="宋体" w:eastAsia="宋体" w:cs="宋体"/>
          <w:spacing w:val="4"/>
          <w:sz w:val="28"/>
          <w:szCs w:val="28"/>
          <w:lang w:eastAsia="zh-CN"/>
        </w:rPr>
        <w:t>0、1.</w:t>
      </w:r>
      <w:r>
        <w:rPr>
          <w:rFonts w:hint="eastAsia" w:ascii="宋体" w:hAnsi="宋体" w:eastAsia="宋体" w:cs="宋体"/>
          <w:spacing w:val="4"/>
          <w:sz w:val="28"/>
          <w:szCs w:val="28"/>
          <w:lang w:val="en-US" w:eastAsia="zh-CN"/>
        </w:rPr>
        <w:t>3</w:t>
      </w:r>
      <w:r>
        <w:rPr>
          <w:rFonts w:hint="eastAsia" w:ascii="宋体" w:hAnsi="宋体" w:eastAsia="宋体" w:cs="宋体"/>
          <w:spacing w:val="4"/>
          <w:sz w:val="28"/>
          <w:szCs w:val="28"/>
          <w:lang w:eastAsia="zh-CN"/>
        </w:rPr>
        <w:t>5的高海拔降效系数）。</w:t>
      </w:r>
    </w:p>
    <w:p w14:paraId="462798D1">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2、材料价格</w:t>
      </w:r>
    </w:p>
    <w:p w14:paraId="781E541B">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主要材料价格依据《费用标准》中规定的价格，即汽油10241元/吨、柴油8881元/吨、砂子70元/m³、砾石70元/m³、块石70元/m³直接进入单价。</w:t>
      </w:r>
    </w:p>
    <w:p w14:paraId="3E8D79E8">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根据《青海省工程造价管理信息》2025年第5期中的材料价格加上运杂费及采保费计算材料差价，计入税金进入单价，次要材料执行编制时期的市场价格。当地材料价格采用指导价计算材料差价，计入税金进入工程单价日。</w:t>
      </w:r>
    </w:p>
    <w:p w14:paraId="548A9AE9">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3、运输费计算</w:t>
      </w:r>
    </w:p>
    <w:p w14:paraId="6465D07B">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根据青海省交通厅公路定额站2025年第5期造价管理信息公布的《青海省公路工程汽车货物运价表》中的规定计算。</w:t>
      </w:r>
    </w:p>
    <w:p w14:paraId="30FBF7D8">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4、基础资料及计算成果</w:t>
      </w:r>
    </w:p>
    <w:p w14:paraId="4D5FE84B">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⑴人工工资</w:t>
      </w:r>
    </w:p>
    <w:p w14:paraId="735F6261">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根据《青海省水利工程设计概（估）算编制规定》（青水建[2015]512号）文件规定中的四类区人工工资预算单价得到技工工资64.77元/工日，普工工资51.79元/工日。</w:t>
      </w:r>
    </w:p>
    <w:p w14:paraId="2D4E1AFA">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⑵风、水、电单价</w:t>
      </w:r>
    </w:p>
    <w:p w14:paraId="286DA67D">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经计算风、水、电的单价为风0.25元/m³、水0.95元/m³、电1.15元/kwh。</w:t>
      </w:r>
    </w:p>
    <w:p w14:paraId="1198CFB2">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⑶当地材料预算价格</w:t>
      </w:r>
    </w:p>
    <w:p w14:paraId="2E64A1AD">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当地材料预算价格如下：砂子172.66元/m</w:t>
      </w:r>
      <w:r>
        <w:rPr>
          <w:rFonts w:hint="eastAsia" w:ascii="宋体" w:hAnsi="宋体" w:eastAsia="宋体" w:cs="宋体"/>
          <w:spacing w:val="4"/>
          <w:sz w:val="28"/>
          <w:szCs w:val="28"/>
          <w:vertAlign w:val="superscript"/>
          <w:lang w:eastAsia="zh-CN"/>
        </w:rPr>
        <w:t>3</w:t>
      </w:r>
      <w:r>
        <w:rPr>
          <w:rFonts w:hint="eastAsia" w:ascii="宋体" w:hAnsi="宋体" w:eastAsia="宋体" w:cs="宋体"/>
          <w:spacing w:val="4"/>
          <w:sz w:val="28"/>
          <w:szCs w:val="28"/>
          <w:lang w:eastAsia="zh-CN"/>
        </w:rPr>
        <w:t>、砾石173.5元/m</w:t>
      </w:r>
      <w:r>
        <w:rPr>
          <w:rFonts w:hint="eastAsia" w:ascii="宋体" w:hAnsi="宋体" w:eastAsia="宋体" w:cs="宋体"/>
          <w:spacing w:val="4"/>
          <w:sz w:val="28"/>
          <w:szCs w:val="28"/>
          <w:vertAlign w:val="superscript"/>
          <w:lang w:eastAsia="zh-CN"/>
        </w:rPr>
        <w:t>3</w:t>
      </w:r>
      <w:r>
        <w:rPr>
          <w:rFonts w:hint="eastAsia" w:ascii="宋体" w:hAnsi="宋体" w:eastAsia="宋体" w:cs="宋体"/>
          <w:spacing w:val="4"/>
          <w:sz w:val="28"/>
          <w:szCs w:val="28"/>
          <w:lang w:eastAsia="zh-CN"/>
        </w:rPr>
        <w:t>、砂砾石135元/m</w:t>
      </w:r>
      <w:r>
        <w:rPr>
          <w:rFonts w:hint="eastAsia" w:ascii="宋体" w:hAnsi="宋体" w:eastAsia="宋体" w:cs="宋体"/>
          <w:spacing w:val="4"/>
          <w:sz w:val="28"/>
          <w:szCs w:val="28"/>
          <w:vertAlign w:val="superscript"/>
          <w:lang w:eastAsia="zh-CN"/>
        </w:rPr>
        <w:t>3</w:t>
      </w:r>
      <w:r>
        <w:rPr>
          <w:rFonts w:hint="eastAsia" w:ascii="宋体" w:hAnsi="宋体" w:eastAsia="宋体" w:cs="宋体"/>
          <w:spacing w:val="4"/>
          <w:sz w:val="28"/>
          <w:szCs w:val="28"/>
          <w:lang w:eastAsia="zh-CN"/>
        </w:rPr>
        <w:t>。</w:t>
      </w:r>
    </w:p>
    <w:p w14:paraId="659B44A9">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⑷主要材料预算价格</w:t>
      </w:r>
    </w:p>
    <w:p w14:paraId="10A5E6EE">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根据《青海省工程造价管理信息》2025年第5期中的材料指导价计算。</w:t>
      </w:r>
    </w:p>
    <w:p w14:paraId="479902A4">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76" w:name="bookmark199"/>
      <w:bookmarkEnd w:id="276"/>
      <w:bookmarkStart w:id="277" w:name="bookmark198"/>
      <w:bookmarkEnd w:id="277"/>
      <w:bookmarkStart w:id="278" w:name="_Toc30786"/>
      <w:bookmarkStart w:id="279" w:name="_Toc20938"/>
      <w:r>
        <w:rPr>
          <w:rFonts w:hint="eastAsia" w:ascii="宋体" w:hAnsi="宋体" w:eastAsia="宋体" w:cs="宋体"/>
          <w:sz w:val="28"/>
          <w:szCs w:val="28"/>
          <w:lang w:eastAsia="zh-CN"/>
        </w:rPr>
        <w:t>（二）单项工程量及其经费估算</w:t>
      </w:r>
      <w:bookmarkEnd w:id="278"/>
      <w:bookmarkEnd w:id="279"/>
    </w:p>
    <w:p w14:paraId="540720AC">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根据所涉及的工程类型、工程设计、工程部署、工程量及工程技术手段等，参照相关标准，进行经费估算，地貌重塑经费</w:t>
      </w:r>
      <w:r>
        <w:rPr>
          <w:rFonts w:hint="eastAsia" w:ascii="宋体" w:hAnsi="宋体" w:eastAsia="宋体" w:cs="宋体"/>
          <w:spacing w:val="4"/>
          <w:sz w:val="28"/>
          <w:szCs w:val="28"/>
          <w:lang w:val="en-US" w:eastAsia="zh-CN"/>
        </w:rPr>
        <w:t>416526.63</w:t>
      </w:r>
      <w:r>
        <w:rPr>
          <w:rFonts w:hint="eastAsia" w:ascii="宋体" w:hAnsi="宋体" w:eastAsia="宋体" w:cs="宋体"/>
          <w:spacing w:val="4"/>
          <w:sz w:val="28"/>
          <w:szCs w:val="28"/>
          <w:lang w:eastAsia="zh-CN"/>
        </w:rPr>
        <w:t>元、生态修复工程经费</w:t>
      </w:r>
      <w:r>
        <w:rPr>
          <w:rFonts w:hint="eastAsia" w:ascii="宋体" w:hAnsi="宋体" w:eastAsia="宋体" w:cs="宋体"/>
          <w:spacing w:val="4"/>
          <w:sz w:val="28"/>
          <w:szCs w:val="28"/>
          <w:lang w:val="en-US" w:eastAsia="zh-CN"/>
        </w:rPr>
        <w:t>1085531.72</w:t>
      </w:r>
      <w:r>
        <w:rPr>
          <w:rFonts w:hint="eastAsia" w:ascii="宋体" w:hAnsi="宋体" w:eastAsia="宋体" w:cs="宋体"/>
          <w:spacing w:val="4"/>
          <w:sz w:val="28"/>
          <w:szCs w:val="28"/>
          <w:lang w:eastAsia="zh-CN"/>
        </w:rPr>
        <w:t>元、防护工程</w:t>
      </w:r>
      <w:r>
        <w:rPr>
          <w:rFonts w:hint="eastAsia" w:ascii="宋体" w:hAnsi="宋体" w:eastAsia="宋体" w:cs="宋体"/>
          <w:spacing w:val="4"/>
          <w:sz w:val="28"/>
          <w:szCs w:val="28"/>
          <w:lang w:val="en-US" w:eastAsia="zh-CN"/>
        </w:rPr>
        <w:t>284160.00</w:t>
      </w:r>
      <w:r>
        <w:rPr>
          <w:rFonts w:hint="eastAsia" w:ascii="宋体" w:hAnsi="宋体" w:eastAsia="宋体" w:cs="宋体"/>
          <w:spacing w:val="4"/>
          <w:sz w:val="28"/>
          <w:szCs w:val="28"/>
          <w:lang w:eastAsia="zh-CN"/>
        </w:rPr>
        <w:t>元。</w:t>
      </w:r>
    </w:p>
    <w:p w14:paraId="307D512F">
      <w:pPr>
        <w:spacing w:before="3" w:line="227" w:lineRule="auto"/>
        <w:jc w:val="center"/>
        <w:rPr>
          <w:rFonts w:hint="eastAsia" w:ascii="宋体" w:hAnsi="宋体" w:eastAsia="宋体" w:cs="宋体"/>
          <w:b/>
          <w:bCs/>
          <w:spacing w:val="6"/>
          <w:sz w:val="21"/>
          <w:szCs w:val="21"/>
          <w:lang w:eastAsia="zh-CN"/>
        </w:rPr>
      </w:pPr>
      <w:r>
        <w:rPr>
          <w:rFonts w:hint="eastAsia" w:ascii="宋体" w:hAnsi="宋体" w:eastAsia="宋体" w:cs="宋体"/>
          <w:b/>
          <w:bCs/>
          <w:spacing w:val="6"/>
          <w:sz w:val="21"/>
          <w:szCs w:val="21"/>
          <w:lang w:eastAsia="zh-CN"/>
        </w:rPr>
        <w:t>表6-1  单工程概（预）算表</w:t>
      </w:r>
    </w:p>
    <w:tbl>
      <w:tblPr>
        <w:tblStyle w:val="17"/>
        <w:tblW w:w="829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4"/>
        <w:gridCol w:w="1124"/>
        <w:gridCol w:w="2175"/>
        <w:gridCol w:w="721"/>
        <w:gridCol w:w="1201"/>
        <w:gridCol w:w="838"/>
        <w:gridCol w:w="1560"/>
      </w:tblGrid>
      <w:tr w14:paraId="4C342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543B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2"/>
                <w:szCs w:val="22"/>
                <w:u w:val="none"/>
                <w:lang w:val="en-US" w:eastAsia="zh-CN" w:bidi="ar"/>
              </w:rPr>
              <w:t>序号</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FC17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2"/>
                <w:szCs w:val="22"/>
                <w:u w:val="none"/>
                <w:lang w:val="en-US" w:eastAsia="zh-CN" w:bidi="ar"/>
              </w:rPr>
              <w:t>单价号</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26EA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2"/>
                <w:szCs w:val="22"/>
                <w:u w:val="none"/>
                <w:lang w:val="en-US" w:eastAsia="zh-CN" w:bidi="ar"/>
              </w:rPr>
              <w:t>名称</w:t>
            </w:r>
          </w:p>
        </w:tc>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E39C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2"/>
                <w:szCs w:val="22"/>
                <w:u w:val="none"/>
                <w:lang w:val="en-US" w:eastAsia="zh-CN" w:bidi="ar"/>
              </w:rPr>
              <w:t>单位</w:t>
            </w:r>
          </w:p>
        </w:tc>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62E8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2"/>
                <w:szCs w:val="22"/>
                <w:u w:val="none"/>
                <w:lang w:val="en-US" w:eastAsia="zh-CN" w:bidi="ar"/>
              </w:rPr>
              <w:t>数量</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6DDE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2"/>
                <w:szCs w:val="22"/>
                <w:u w:val="none"/>
                <w:lang w:val="en-US" w:eastAsia="zh-CN" w:bidi="ar"/>
              </w:rPr>
              <w:t>单价</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D867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2"/>
                <w:szCs w:val="22"/>
                <w:u w:val="none"/>
                <w:lang w:val="en-US" w:eastAsia="zh-CN" w:bidi="ar"/>
              </w:rPr>
              <w:t>金额</w:t>
            </w:r>
          </w:p>
        </w:tc>
      </w:tr>
      <w:tr w14:paraId="58455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114D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2"/>
                <w:szCs w:val="22"/>
                <w:u w:val="none"/>
                <w:lang w:val="en-US" w:eastAsia="zh-CN" w:bidi="ar"/>
              </w:rPr>
              <w:t>一</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02434">
            <w:pPr>
              <w:jc w:val="center"/>
              <w:rPr>
                <w:rFonts w:hint="eastAsia" w:ascii="宋体" w:hAnsi="宋体" w:eastAsia="宋体" w:cs="宋体"/>
                <w:b/>
                <w:bCs/>
                <w:i w:val="0"/>
                <w:iCs w:val="0"/>
                <w:color w:val="000000"/>
                <w:sz w:val="21"/>
                <w:szCs w:val="21"/>
                <w:u w:val="none"/>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B647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2"/>
                <w:szCs w:val="22"/>
                <w:u w:val="none"/>
                <w:lang w:val="en-US" w:eastAsia="zh-CN" w:bidi="ar"/>
              </w:rPr>
              <w:t>地貌重塑工程</w:t>
            </w:r>
          </w:p>
        </w:tc>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2EE8D">
            <w:pPr>
              <w:jc w:val="center"/>
              <w:rPr>
                <w:rFonts w:hint="eastAsia" w:ascii="宋体" w:hAnsi="宋体" w:eastAsia="宋体" w:cs="宋体"/>
                <w:b/>
                <w:bCs/>
                <w:i w:val="0"/>
                <w:iCs w:val="0"/>
                <w:color w:val="000000"/>
                <w:sz w:val="21"/>
                <w:szCs w:val="21"/>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A640A">
            <w:pPr>
              <w:jc w:val="center"/>
              <w:rPr>
                <w:rFonts w:hint="eastAsia" w:ascii="宋体" w:hAnsi="宋体" w:eastAsia="宋体" w:cs="宋体"/>
                <w:b/>
                <w:bCs/>
                <w:i w:val="0"/>
                <w:iCs w:val="0"/>
                <w:color w:val="000000"/>
                <w:sz w:val="21"/>
                <w:szCs w:val="21"/>
                <w:u w:val="none"/>
              </w:rPr>
            </w:pP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6580E">
            <w:pPr>
              <w:jc w:val="center"/>
              <w:rPr>
                <w:rFonts w:hint="eastAsia" w:ascii="宋体" w:hAnsi="宋体" w:eastAsia="宋体" w:cs="宋体"/>
                <w:b/>
                <w:bCs/>
                <w:i w:val="0"/>
                <w:iCs w:val="0"/>
                <w:color w:val="000000"/>
                <w:sz w:val="21"/>
                <w:szCs w:val="21"/>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4482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2"/>
                <w:szCs w:val="22"/>
                <w:u w:val="none"/>
                <w:lang w:val="en-US" w:eastAsia="zh-CN" w:bidi="ar"/>
              </w:rPr>
              <w:t>416526.63</w:t>
            </w:r>
          </w:p>
        </w:tc>
      </w:tr>
      <w:tr w14:paraId="67FB2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5FF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1</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367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20833-</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3AD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清理风成沙及坡积物</w:t>
            </w:r>
          </w:p>
        </w:tc>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018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m</w:t>
            </w:r>
            <w:r>
              <w:rPr>
                <w:rFonts w:hint="eastAsia" w:ascii="宋体" w:hAnsi="宋体" w:eastAsia="宋体" w:cs="宋体"/>
                <w:i w:val="0"/>
                <w:iCs w:val="0"/>
                <w:snapToGrid w:val="0"/>
                <w:color w:val="000000"/>
                <w:kern w:val="0"/>
                <w:sz w:val="22"/>
                <w:szCs w:val="22"/>
                <w:u w:val="none"/>
                <w:lang w:val="en-US" w:eastAsia="zh-CN" w:bidi="ar"/>
              </w:rPr>
              <w:t>³</w:t>
            </w:r>
          </w:p>
        </w:tc>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B78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6465.8</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269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64.42</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810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416526.63</w:t>
            </w:r>
          </w:p>
        </w:tc>
      </w:tr>
      <w:tr w14:paraId="6D4DC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24F9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2"/>
                <w:szCs w:val="22"/>
                <w:u w:val="none"/>
                <w:lang w:val="en-US" w:eastAsia="zh-CN" w:bidi="ar"/>
              </w:rPr>
              <w:t>二</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F618D">
            <w:pPr>
              <w:jc w:val="center"/>
              <w:rPr>
                <w:rFonts w:hint="eastAsia" w:ascii="宋体" w:hAnsi="宋体" w:eastAsia="宋体" w:cs="宋体"/>
                <w:b/>
                <w:bCs/>
                <w:i w:val="0"/>
                <w:iCs w:val="0"/>
                <w:color w:val="000000"/>
                <w:sz w:val="21"/>
                <w:szCs w:val="21"/>
                <w:u w:val="none"/>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0568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2"/>
                <w:szCs w:val="22"/>
                <w:u w:val="none"/>
                <w:lang w:val="en-US" w:eastAsia="zh-CN" w:bidi="ar"/>
              </w:rPr>
              <w:t>生态修复工程</w:t>
            </w:r>
          </w:p>
        </w:tc>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66747">
            <w:pPr>
              <w:jc w:val="center"/>
              <w:rPr>
                <w:rFonts w:hint="eastAsia" w:ascii="宋体" w:hAnsi="宋体" w:eastAsia="宋体" w:cs="宋体"/>
                <w:b/>
                <w:bCs/>
                <w:i w:val="0"/>
                <w:iCs w:val="0"/>
                <w:color w:val="000000"/>
                <w:sz w:val="21"/>
                <w:szCs w:val="21"/>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6360B">
            <w:pPr>
              <w:jc w:val="center"/>
              <w:rPr>
                <w:rFonts w:hint="eastAsia" w:ascii="宋体" w:hAnsi="宋体" w:eastAsia="宋体" w:cs="宋体"/>
                <w:b/>
                <w:bCs/>
                <w:i w:val="0"/>
                <w:iCs w:val="0"/>
                <w:color w:val="000000"/>
                <w:sz w:val="21"/>
                <w:szCs w:val="21"/>
                <w:u w:val="none"/>
              </w:rPr>
            </w:pP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1C26D">
            <w:pPr>
              <w:jc w:val="center"/>
              <w:rPr>
                <w:rFonts w:hint="eastAsia" w:ascii="宋体" w:hAnsi="宋体" w:eastAsia="宋体" w:cs="宋体"/>
                <w:b/>
                <w:bCs/>
                <w:i w:val="0"/>
                <w:iCs w:val="0"/>
                <w:color w:val="000000"/>
                <w:sz w:val="21"/>
                <w:szCs w:val="21"/>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C99F3">
            <w:pPr>
              <w:keepNext w:val="0"/>
              <w:keepLines w:val="0"/>
              <w:widowControl/>
              <w:suppressLineNumbers w:val="0"/>
              <w:jc w:val="center"/>
              <w:textAlignment w:val="center"/>
              <w:rPr>
                <w:rFonts w:hint="eastAsia" w:ascii="宋体" w:hAnsi="宋体" w:eastAsia="宋体" w:cs="宋体"/>
                <w:i w:val="0"/>
                <w:iCs w:val="0"/>
                <w:snapToGrid w:val="0"/>
                <w:color w:val="000000"/>
                <w:sz w:val="22"/>
                <w:szCs w:val="22"/>
                <w:u w:val="none"/>
                <w:lang w:val="en-US" w:eastAsia="en-US" w:bidi="ar-SA"/>
              </w:rPr>
            </w:pPr>
            <w:r>
              <w:rPr>
                <w:rFonts w:hint="eastAsia" w:ascii="仿宋" w:hAnsi="仿宋" w:eastAsia="仿宋" w:cs="仿宋"/>
                <w:b/>
                <w:bCs/>
                <w:i w:val="0"/>
                <w:iCs w:val="0"/>
                <w:snapToGrid w:val="0"/>
                <w:color w:val="000000"/>
                <w:kern w:val="0"/>
                <w:sz w:val="22"/>
                <w:szCs w:val="22"/>
                <w:u w:val="none"/>
                <w:lang w:val="en-US" w:eastAsia="zh-CN" w:bidi="ar"/>
              </w:rPr>
              <w:t>1085531.72</w:t>
            </w:r>
          </w:p>
        </w:tc>
      </w:tr>
      <w:tr w14:paraId="03C4C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034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1</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296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30073--</w:t>
            </w:r>
          </w:p>
        </w:tc>
        <w:tc>
          <w:tcPr>
            <w:tcW w:w="2175" w:type="dxa"/>
            <w:tcBorders>
              <w:top w:val="nil"/>
              <w:left w:val="single" w:color="000000" w:sz="4" w:space="0"/>
              <w:bottom w:val="single" w:color="000000" w:sz="4" w:space="0"/>
              <w:right w:val="single" w:color="000000" w:sz="4" w:space="0"/>
            </w:tcBorders>
            <w:shd w:val="clear" w:color="auto" w:fill="auto"/>
            <w:vAlign w:val="center"/>
          </w:tcPr>
          <w:p w14:paraId="558745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砖混拆除</w:t>
            </w:r>
          </w:p>
        </w:tc>
        <w:tc>
          <w:tcPr>
            <w:tcW w:w="721" w:type="dxa"/>
            <w:tcBorders>
              <w:top w:val="nil"/>
              <w:left w:val="single" w:color="000000" w:sz="4" w:space="0"/>
              <w:bottom w:val="single" w:color="000000" w:sz="4" w:space="0"/>
              <w:right w:val="single" w:color="000000" w:sz="4" w:space="0"/>
            </w:tcBorders>
            <w:shd w:val="clear" w:color="auto" w:fill="auto"/>
            <w:vAlign w:val="center"/>
          </w:tcPr>
          <w:p w14:paraId="345C66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m</w:t>
            </w:r>
            <w:r>
              <w:rPr>
                <w:rFonts w:hint="eastAsia" w:ascii="宋体" w:hAnsi="宋体" w:eastAsia="宋体" w:cs="宋体"/>
                <w:i w:val="0"/>
                <w:iCs w:val="0"/>
                <w:snapToGrid w:val="0"/>
                <w:color w:val="000000"/>
                <w:kern w:val="0"/>
                <w:sz w:val="22"/>
                <w:szCs w:val="22"/>
                <w:u w:val="none"/>
                <w:lang w:val="en-US" w:eastAsia="zh-CN" w:bidi="ar"/>
              </w:rPr>
              <w:t>³</w:t>
            </w:r>
          </w:p>
        </w:tc>
        <w:tc>
          <w:tcPr>
            <w:tcW w:w="1201" w:type="dxa"/>
            <w:tcBorders>
              <w:top w:val="nil"/>
              <w:left w:val="single" w:color="000000" w:sz="4" w:space="0"/>
              <w:bottom w:val="single" w:color="000000" w:sz="4" w:space="0"/>
              <w:right w:val="single" w:color="000000" w:sz="4" w:space="0"/>
            </w:tcBorders>
            <w:shd w:val="clear" w:color="auto" w:fill="auto"/>
            <w:vAlign w:val="center"/>
          </w:tcPr>
          <w:p w14:paraId="544B9C82">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snapToGrid w:val="0"/>
                <w:color w:val="000000"/>
                <w:kern w:val="0"/>
                <w:sz w:val="21"/>
                <w:szCs w:val="21"/>
                <w:u w:val="none"/>
                <w:lang w:val="en-US" w:eastAsia="zh-CN" w:bidi="ar"/>
              </w:rPr>
              <w:t>717</w:t>
            </w:r>
          </w:p>
        </w:tc>
        <w:tc>
          <w:tcPr>
            <w:tcW w:w="838" w:type="dxa"/>
            <w:tcBorders>
              <w:top w:val="nil"/>
              <w:left w:val="single" w:color="000000" w:sz="4" w:space="0"/>
              <w:bottom w:val="single" w:color="000000" w:sz="4" w:space="0"/>
              <w:right w:val="single" w:color="000000" w:sz="4" w:space="0"/>
            </w:tcBorders>
            <w:shd w:val="clear" w:color="auto" w:fill="auto"/>
            <w:vAlign w:val="center"/>
          </w:tcPr>
          <w:p w14:paraId="00873E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65.28</w:t>
            </w:r>
          </w:p>
        </w:tc>
        <w:tc>
          <w:tcPr>
            <w:tcW w:w="1560" w:type="dxa"/>
            <w:tcBorders>
              <w:top w:val="nil"/>
              <w:left w:val="single" w:color="000000" w:sz="4" w:space="0"/>
              <w:bottom w:val="single" w:color="000000" w:sz="4" w:space="0"/>
              <w:right w:val="single" w:color="000000" w:sz="4" w:space="0"/>
            </w:tcBorders>
            <w:shd w:val="clear" w:color="auto" w:fill="auto"/>
            <w:vAlign w:val="center"/>
          </w:tcPr>
          <w:p w14:paraId="18120E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46803.25</w:t>
            </w:r>
          </w:p>
        </w:tc>
      </w:tr>
      <w:tr w14:paraId="2D7F6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8A5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2</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775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40192--</w:t>
            </w:r>
          </w:p>
        </w:tc>
        <w:tc>
          <w:tcPr>
            <w:tcW w:w="2175" w:type="dxa"/>
            <w:tcBorders>
              <w:top w:val="nil"/>
              <w:left w:val="single" w:color="000000" w:sz="4" w:space="0"/>
              <w:bottom w:val="single" w:color="000000" w:sz="4" w:space="0"/>
              <w:right w:val="single" w:color="000000" w:sz="4" w:space="0"/>
            </w:tcBorders>
            <w:shd w:val="clear" w:color="auto" w:fill="auto"/>
            <w:vAlign w:val="center"/>
          </w:tcPr>
          <w:p w14:paraId="772B60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硬化拆除</w:t>
            </w:r>
          </w:p>
        </w:tc>
        <w:tc>
          <w:tcPr>
            <w:tcW w:w="721" w:type="dxa"/>
            <w:tcBorders>
              <w:top w:val="nil"/>
              <w:left w:val="single" w:color="000000" w:sz="4" w:space="0"/>
              <w:bottom w:val="single" w:color="000000" w:sz="4" w:space="0"/>
              <w:right w:val="single" w:color="000000" w:sz="4" w:space="0"/>
            </w:tcBorders>
            <w:shd w:val="clear" w:color="auto" w:fill="auto"/>
            <w:vAlign w:val="center"/>
          </w:tcPr>
          <w:p w14:paraId="28F68E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m</w:t>
            </w:r>
            <w:r>
              <w:rPr>
                <w:rFonts w:hint="eastAsia" w:ascii="宋体" w:hAnsi="宋体" w:eastAsia="宋体" w:cs="宋体"/>
                <w:i w:val="0"/>
                <w:iCs w:val="0"/>
                <w:snapToGrid w:val="0"/>
                <w:color w:val="000000"/>
                <w:kern w:val="0"/>
                <w:sz w:val="22"/>
                <w:szCs w:val="22"/>
                <w:u w:val="none"/>
                <w:lang w:val="en-US" w:eastAsia="zh-CN" w:bidi="ar"/>
              </w:rPr>
              <w:t>³</w:t>
            </w:r>
          </w:p>
        </w:tc>
        <w:tc>
          <w:tcPr>
            <w:tcW w:w="1201" w:type="dxa"/>
            <w:tcBorders>
              <w:top w:val="nil"/>
              <w:left w:val="single" w:color="000000" w:sz="4" w:space="0"/>
              <w:bottom w:val="single" w:color="000000" w:sz="4" w:space="0"/>
              <w:right w:val="single" w:color="000000" w:sz="4" w:space="0"/>
            </w:tcBorders>
            <w:shd w:val="clear" w:color="auto" w:fill="auto"/>
            <w:vAlign w:val="center"/>
          </w:tcPr>
          <w:p w14:paraId="06B97E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257</w:t>
            </w:r>
          </w:p>
        </w:tc>
        <w:tc>
          <w:tcPr>
            <w:tcW w:w="838" w:type="dxa"/>
            <w:tcBorders>
              <w:top w:val="nil"/>
              <w:left w:val="single" w:color="000000" w:sz="4" w:space="0"/>
              <w:bottom w:val="single" w:color="000000" w:sz="4" w:space="0"/>
              <w:right w:val="single" w:color="000000" w:sz="4" w:space="0"/>
            </w:tcBorders>
            <w:shd w:val="clear" w:color="auto" w:fill="auto"/>
            <w:vAlign w:val="center"/>
          </w:tcPr>
          <w:p w14:paraId="45C2AD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65.47</w:t>
            </w:r>
          </w:p>
        </w:tc>
        <w:tc>
          <w:tcPr>
            <w:tcW w:w="1560" w:type="dxa"/>
            <w:tcBorders>
              <w:top w:val="nil"/>
              <w:left w:val="single" w:color="000000" w:sz="4" w:space="0"/>
              <w:bottom w:val="single" w:color="000000" w:sz="4" w:space="0"/>
              <w:right w:val="single" w:color="000000" w:sz="4" w:space="0"/>
            </w:tcBorders>
            <w:shd w:val="clear" w:color="auto" w:fill="auto"/>
            <w:vAlign w:val="center"/>
          </w:tcPr>
          <w:p w14:paraId="4A5292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16824.87</w:t>
            </w:r>
          </w:p>
        </w:tc>
      </w:tr>
      <w:tr w14:paraId="6DADD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863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3</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652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估价</w:t>
            </w:r>
          </w:p>
        </w:tc>
        <w:tc>
          <w:tcPr>
            <w:tcW w:w="2175" w:type="dxa"/>
            <w:tcBorders>
              <w:top w:val="nil"/>
              <w:left w:val="single" w:color="000000" w:sz="4" w:space="0"/>
              <w:bottom w:val="single" w:color="000000" w:sz="4" w:space="0"/>
              <w:right w:val="single" w:color="000000" w:sz="4" w:space="0"/>
            </w:tcBorders>
            <w:shd w:val="clear" w:color="auto" w:fill="auto"/>
            <w:vAlign w:val="center"/>
          </w:tcPr>
          <w:p w14:paraId="7F3230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彩钢拆除</w:t>
            </w:r>
          </w:p>
        </w:tc>
        <w:tc>
          <w:tcPr>
            <w:tcW w:w="721" w:type="dxa"/>
            <w:tcBorders>
              <w:top w:val="nil"/>
              <w:left w:val="single" w:color="000000" w:sz="4" w:space="0"/>
              <w:bottom w:val="single" w:color="000000" w:sz="4" w:space="0"/>
              <w:right w:val="single" w:color="000000" w:sz="4" w:space="0"/>
            </w:tcBorders>
            <w:shd w:val="clear" w:color="auto" w:fill="auto"/>
            <w:vAlign w:val="center"/>
          </w:tcPr>
          <w:p w14:paraId="5B1433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w:t>
            </w:r>
          </w:p>
        </w:tc>
        <w:tc>
          <w:tcPr>
            <w:tcW w:w="1201" w:type="dxa"/>
            <w:tcBorders>
              <w:top w:val="nil"/>
              <w:left w:val="single" w:color="000000" w:sz="4" w:space="0"/>
              <w:bottom w:val="single" w:color="000000" w:sz="4" w:space="0"/>
              <w:right w:val="single" w:color="000000" w:sz="4" w:space="0"/>
            </w:tcBorders>
            <w:shd w:val="clear" w:color="auto" w:fill="auto"/>
            <w:vAlign w:val="center"/>
          </w:tcPr>
          <w:p w14:paraId="1490A303">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snapToGrid w:val="0"/>
                <w:color w:val="000000"/>
                <w:kern w:val="0"/>
                <w:sz w:val="21"/>
                <w:szCs w:val="21"/>
                <w:u w:val="none"/>
                <w:lang w:val="en-US" w:eastAsia="zh-CN" w:bidi="ar"/>
              </w:rPr>
              <w:t>1550</w:t>
            </w:r>
          </w:p>
        </w:tc>
        <w:tc>
          <w:tcPr>
            <w:tcW w:w="838" w:type="dxa"/>
            <w:tcBorders>
              <w:top w:val="nil"/>
              <w:left w:val="single" w:color="000000" w:sz="4" w:space="0"/>
              <w:bottom w:val="single" w:color="000000" w:sz="4" w:space="0"/>
              <w:right w:val="single" w:color="000000" w:sz="4" w:space="0"/>
            </w:tcBorders>
            <w:shd w:val="clear" w:color="auto" w:fill="auto"/>
            <w:vAlign w:val="center"/>
          </w:tcPr>
          <w:p w14:paraId="6192D7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20.00</w:t>
            </w:r>
          </w:p>
        </w:tc>
        <w:tc>
          <w:tcPr>
            <w:tcW w:w="1560" w:type="dxa"/>
            <w:tcBorders>
              <w:top w:val="nil"/>
              <w:left w:val="single" w:color="000000" w:sz="4" w:space="0"/>
              <w:bottom w:val="single" w:color="000000" w:sz="4" w:space="0"/>
              <w:right w:val="single" w:color="000000" w:sz="4" w:space="0"/>
            </w:tcBorders>
            <w:shd w:val="clear" w:color="auto" w:fill="auto"/>
            <w:vAlign w:val="center"/>
          </w:tcPr>
          <w:p w14:paraId="650B6F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31000.00</w:t>
            </w:r>
          </w:p>
        </w:tc>
      </w:tr>
      <w:tr w14:paraId="60994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74" w:type="dxa"/>
            <w:tcBorders>
              <w:top w:val="nil"/>
              <w:left w:val="single" w:color="000000" w:sz="4" w:space="0"/>
              <w:bottom w:val="single" w:color="000000" w:sz="4" w:space="0"/>
              <w:right w:val="single" w:color="000000" w:sz="4" w:space="0"/>
            </w:tcBorders>
            <w:shd w:val="clear" w:color="auto" w:fill="auto"/>
            <w:vAlign w:val="center"/>
          </w:tcPr>
          <w:p w14:paraId="38A36C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4</w:t>
            </w:r>
          </w:p>
        </w:tc>
        <w:tc>
          <w:tcPr>
            <w:tcW w:w="1124" w:type="dxa"/>
            <w:tcBorders>
              <w:top w:val="nil"/>
              <w:left w:val="single" w:color="000000" w:sz="4" w:space="0"/>
              <w:bottom w:val="single" w:color="000000" w:sz="4" w:space="0"/>
              <w:right w:val="single" w:color="000000" w:sz="4" w:space="0"/>
            </w:tcBorders>
            <w:shd w:val="clear" w:color="auto" w:fill="auto"/>
            <w:vAlign w:val="center"/>
          </w:tcPr>
          <w:p w14:paraId="0F7795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10315--</w:t>
            </w:r>
          </w:p>
        </w:tc>
        <w:tc>
          <w:tcPr>
            <w:tcW w:w="2175" w:type="dxa"/>
            <w:tcBorders>
              <w:top w:val="nil"/>
              <w:left w:val="single" w:color="000000" w:sz="4" w:space="0"/>
              <w:bottom w:val="single" w:color="000000" w:sz="4" w:space="0"/>
              <w:right w:val="single" w:color="000000" w:sz="4" w:space="0"/>
            </w:tcBorders>
            <w:shd w:val="clear" w:color="auto" w:fill="auto"/>
            <w:vAlign w:val="center"/>
          </w:tcPr>
          <w:p w14:paraId="11E714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场地平整</w:t>
            </w:r>
          </w:p>
        </w:tc>
        <w:tc>
          <w:tcPr>
            <w:tcW w:w="721" w:type="dxa"/>
            <w:tcBorders>
              <w:top w:val="nil"/>
              <w:left w:val="single" w:color="000000" w:sz="4" w:space="0"/>
              <w:bottom w:val="single" w:color="000000" w:sz="4" w:space="0"/>
              <w:right w:val="single" w:color="000000" w:sz="4" w:space="0"/>
            </w:tcBorders>
            <w:shd w:val="clear" w:color="auto" w:fill="auto"/>
            <w:vAlign w:val="center"/>
          </w:tcPr>
          <w:p w14:paraId="342322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m</w:t>
            </w:r>
            <w:r>
              <w:rPr>
                <w:rFonts w:hint="eastAsia" w:ascii="宋体" w:hAnsi="宋体" w:eastAsia="宋体" w:cs="宋体"/>
                <w:i w:val="0"/>
                <w:iCs w:val="0"/>
                <w:snapToGrid w:val="0"/>
                <w:color w:val="000000"/>
                <w:kern w:val="0"/>
                <w:sz w:val="22"/>
                <w:szCs w:val="22"/>
                <w:u w:val="none"/>
                <w:lang w:val="en-US" w:eastAsia="zh-CN" w:bidi="ar"/>
              </w:rPr>
              <w:t>³</w:t>
            </w:r>
          </w:p>
        </w:tc>
        <w:tc>
          <w:tcPr>
            <w:tcW w:w="1201" w:type="dxa"/>
            <w:tcBorders>
              <w:top w:val="nil"/>
              <w:left w:val="single" w:color="000000" w:sz="4" w:space="0"/>
              <w:bottom w:val="single" w:color="000000" w:sz="4" w:space="0"/>
              <w:right w:val="single" w:color="000000" w:sz="4" w:space="0"/>
            </w:tcBorders>
            <w:shd w:val="clear" w:color="auto" w:fill="auto"/>
            <w:vAlign w:val="center"/>
          </w:tcPr>
          <w:p w14:paraId="380AFB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119700.0</w:t>
            </w:r>
          </w:p>
        </w:tc>
        <w:tc>
          <w:tcPr>
            <w:tcW w:w="838" w:type="dxa"/>
            <w:tcBorders>
              <w:top w:val="nil"/>
              <w:left w:val="single" w:color="000000" w:sz="4" w:space="0"/>
              <w:bottom w:val="single" w:color="000000" w:sz="4" w:space="0"/>
              <w:right w:val="single" w:color="000000" w:sz="4" w:space="0"/>
            </w:tcBorders>
            <w:shd w:val="clear" w:color="auto" w:fill="auto"/>
            <w:vAlign w:val="center"/>
          </w:tcPr>
          <w:p w14:paraId="5307A2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8.28</w:t>
            </w:r>
          </w:p>
        </w:tc>
        <w:tc>
          <w:tcPr>
            <w:tcW w:w="1560" w:type="dxa"/>
            <w:tcBorders>
              <w:top w:val="nil"/>
              <w:left w:val="single" w:color="000000" w:sz="4" w:space="0"/>
              <w:bottom w:val="single" w:color="000000" w:sz="4" w:space="0"/>
              <w:right w:val="single" w:color="000000" w:sz="4" w:space="0"/>
            </w:tcBorders>
            <w:shd w:val="clear" w:color="auto" w:fill="auto"/>
            <w:vAlign w:val="center"/>
          </w:tcPr>
          <w:p w14:paraId="544DCE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990903.60</w:t>
            </w:r>
          </w:p>
        </w:tc>
      </w:tr>
      <w:tr w14:paraId="62A82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74" w:type="dxa"/>
            <w:tcBorders>
              <w:top w:val="nil"/>
              <w:left w:val="single" w:color="000000" w:sz="4" w:space="0"/>
              <w:bottom w:val="single" w:color="000000" w:sz="4" w:space="0"/>
              <w:right w:val="single" w:color="000000" w:sz="4" w:space="0"/>
            </w:tcBorders>
            <w:shd w:val="clear" w:color="auto" w:fill="auto"/>
            <w:vAlign w:val="center"/>
          </w:tcPr>
          <w:p w14:paraId="40698B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三</w:t>
            </w:r>
          </w:p>
        </w:tc>
        <w:tc>
          <w:tcPr>
            <w:tcW w:w="1124" w:type="dxa"/>
            <w:tcBorders>
              <w:top w:val="nil"/>
              <w:left w:val="single" w:color="000000" w:sz="4" w:space="0"/>
              <w:bottom w:val="single" w:color="000000" w:sz="4" w:space="0"/>
              <w:right w:val="single" w:color="000000" w:sz="4" w:space="0"/>
            </w:tcBorders>
            <w:shd w:val="clear" w:color="auto" w:fill="auto"/>
            <w:vAlign w:val="center"/>
          </w:tcPr>
          <w:p w14:paraId="70DB1F4C">
            <w:pPr>
              <w:jc w:val="center"/>
              <w:rPr>
                <w:rFonts w:hint="eastAsia" w:ascii="宋体" w:hAnsi="宋体" w:eastAsia="宋体" w:cs="宋体"/>
                <w:i w:val="0"/>
                <w:iCs w:val="0"/>
                <w:color w:val="000000"/>
                <w:sz w:val="21"/>
                <w:szCs w:val="21"/>
                <w:u w:val="none"/>
              </w:rPr>
            </w:pPr>
          </w:p>
        </w:tc>
        <w:tc>
          <w:tcPr>
            <w:tcW w:w="2175" w:type="dxa"/>
            <w:tcBorders>
              <w:top w:val="nil"/>
              <w:left w:val="single" w:color="000000" w:sz="4" w:space="0"/>
              <w:bottom w:val="single" w:color="000000" w:sz="4" w:space="0"/>
              <w:right w:val="single" w:color="000000" w:sz="4" w:space="0"/>
            </w:tcBorders>
            <w:shd w:val="clear" w:color="auto" w:fill="auto"/>
            <w:vAlign w:val="center"/>
          </w:tcPr>
          <w:p w14:paraId="2B71A0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防护工程</w:t>
            </w:r>
          </w:p>
        </w:tc>
        <w:tc>
          <w:tcPr>
            <w:tcW w:w="721" w:type="dxa"/>
            <w:tcBorders>
              <w:top w:val="nil"/>
              <w:left w:val="single" w:color="000000" w:sz="4" w:space="0"/>
              <w:bottom w:val="single" w:color="000000" w:sz="4" w:space="0"/>
              <w:right w:val="single" w:color="000000" w:sz="4" w:space="0"/>
            </w:tcBorders>
            <w:shd w:val="clear" w:color="auto" w:fill="auto"/>
            <w:vAlign w:val="center"/>
          </w:tcPr>
          <w:p w14:paraId="2AD48060">
            <w:pPr>
              <w:jc w:val="center"/>
              <w:rPr>
                <w:rFonts w:hint="eastAsia" w:ascii="宋体" w:hAnsi="宋体" w:eastAsia="宋体" w:cs="宋体"/>
                <w:i w:val="0"/>
                <w:iCs w:val="0"/>
                <w:color w:val="000000"/>
                <w:sz w:val="21"/>
                <w:szCs w:val="21"/>
                <w:u w:val="none"/>
              </w:rPr>
            </w:pPr>
          </w:p>
        </w:tc>
        <w:tc>
          <w:tcPr>
            <w:tcW w:w="1201" w:type="dxa"/>
            <w:tcBorders>
              <w:top w:val="nil"/>
              <w:left w:val="single" w:color="000000" w:sz="4" w:space="0"/>
              <w:bottom w:val="single" w:color="000000" w:sz="4" w:space="0"/>
              <w:right w:val="single" w:color="000000" w:sz="4" w:space="0"/>
            </w:tcBorders>
            <w:shd w:val="clear" w:color="auto" w:fill="auto"/>
            <w:vAlign w:val="center"/>
          </w:tcPr>
          <w:p w14:paraId="5891219A">
            <w:pPr>
              <w:jc w:val="center"/>
              <w:rPr>
                <w:rFonts w:hint="eastAsia" w:ascii="宋体" w:hAnsi="宋体" w:eastAsia="宋体" w:cs="宋体"/>
                <w:i w:val="0"/>
                <w:iCs w:val="0"/>
                <w:color w:val="000000"/>
                <w:sz w:val="21"/>
                <w:szCs w:val="21"/>
                <w:u w:val="none"/>
              </w:rPr>
            </w:pPr>
          </w:p>
        </w:tc>
        <w:tc>
          <w:tcPr>
            <w:tcW w:w="838" w:type="dxa"/>
            <w:tcBorders>
              <w:top w:val="nil"/>
              <w:left w:val="single" w:color="000000" w:sz="4" w:space="0"/>
              <w:bottom w:val="single" w:color="000000" w:sz="4" w:space="0"/>
              <w:right w:val="single" w:color="000000" w:sz="4" w:space="0"/>
            </w:tcBorders>
            <w:shd w:val="clear" w:color="auto" w:fill="auto"/>
            <w:vAlign w:val="center"/>
          </w:tcPr>
          <w:p w14:paraId="0C8BADED">
            <w:pPr>
              <w:jc w:val="center"/>
              <w:rPr>
                <w:rFonts w:hint="eastAsia" w:ascii="宋体" w:hAnsi="宋体" w:eastAsia="宋体" w:cs="宋体"/>
                <w:i w:val="0"/>
                <w:iCs w:val="0"/>
                <w:color w:val="000000"/>
                <w:sz w:val="21"/>
                <w:szCs w:val="21"/>
                <w:u w:val="none"/>
              </w:rPr>
            </w:pPr>
          </w:p>
        </w:tc>
        <w:tc>
          <w:tcPr>
            <w:tcW w:w="1560" w:type="dxa"/>
            <w:tcBorders>
              <w:top w:val="nil"/>
              <w:left w:val="single" w:color="000000" w:sz="4" w:space="0"/>
              <w:bottom w:val="single" w:color="000000" w:sz="4" w:space="0"/>
              <w:right w:val="single" w:color="000000" w:sz="4" w:space="0"/>
            </w:tcBorders>
            <w:shd w:val="clear" w:color="auto" w:fill="auto"/>
            <w:vAlign w:val="center"/>
          </w:tcPr>
          <w:p w14:paraId="650B7B88">
            <w:pPr>
              <w:keepNext w:val="0"/>
              <w:keepLines w:val="0"/>
              <w:widowControl/>
              <w:suppressLineNumbers w:val="0"/>
              <w:jc w:val="center"/>
              <w:textAlignment w:val="center"/>
              <w:rPr>
                <w:rFonts w:hint="eastAsia" w:ascii="宋体" w:hAnsi="宋体" w:eastAsia="宋体" w:cs="宋体"/>
                <w:i w:val="0"/>
                <w:iCs w:val="0"/>
                <w:snapToGrid w:val="0"/>
                <w:color w:val="000000"/>
                <w:sz w:val="22"/>
                <w:szCs w:val="22"/>
                <w:u w:val="none"/>
                <w:lang w:val="en-US" w:eastAsia="en-US" w:bidi="ar-SA"/>
              </w:rPr>
            </w:pPr>
            <w:r>
              <w:rPr>
                <w:rFonts w:hint="eastAsia" w:ascii="仿宋" w:hAnsi="仿宋" w:eastAsia="仿宋" w:cs="仿宋"/>
                <w:i w:val="0"/>
                <w:iCs w:val="0"/>
                <w:snapToGrid w:val="0"/>
                <w:color w:val="000000"/>
                <w:kern w:val="0"/>
                <w:sz w:val="22"/>
                <w:szCs w:val="22"/>
                <w:u w:val="none"/>
                <w:lang w:val="en-US" w:eastAsia="zh-CN" w:bidi="ar"/>
              </w:rPr>
              <w:t>284160.00</w:t>
            </w:r>
          </w:p>
        </w:tc>
      </w:tr>
      <w:tr w14:paraId="04DB2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74" w:type="dxa"/>
            <w:tcBorders>
              <w:top w:val="nil"/>
              <w:left w:val="single" w:color="000000" w:sz="4" w:space="0"/>
              <w:bottom w:val="single" w:color="000000" w:sz="4" w:space="0"/>
              <w:right w:val="single" w:color="000000" w:sz="4" w:space="0"/>
            </w:tcBorders>
            <w:shd w:val="clear" w:color="auto" w:fill="auto"/>
            <w:vAlign w:val="center"/>
          </w:tcPr>
          <w:p w14:paraId="0E93F3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1</w:t>
            </w:r>
          </w:p>
        </w:tc>
        <w:tc>
          <w:tcPr>
            <w:tcW w:w="1124" w:type="dxa"/>
            <w:tcBorders>
              <w:top w:val="nil"/>
              <w:left w:val="single" w:color="000000" w:sz="4" w:space="0"/>
              <w:bottom w:val="single" w:color="000000" w:sz="4" w:space="0"/>
              <w:right w:val="single" w:color="000000" w:sz="4" w:space="0"/>
            </w:tcBorders>
            <w:shd w:val="clear" w:color="auto" w:fill="auto"/>
            <w:vAlign w:val="center"/>
          </w:tcPr>
          <w:p w14:paraId="33308D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估价</w:t>
            </w:r>
          </w:p>
        </w:tc>
        <w:tc>
          <w:tcPr>
            <w:tcW w:w="2175" w:type="dxa"/>
            <w:tcBorders>
              <w:top w:val="nil"/>
              <w:left w:val="single" w:color="000000" w:sz="4" w:space="0"/>
              <w:bottom w:val="single" w:color="000000" w:sz="4" w:space="0"/>
              <w:right w:val="single" w:color="000000" w:sz="4" w:space="0"/>
            </w:tcBorders>
            <w:shd w:val="clear" w:color="auto" w:fill="auto"/>
            <w:vAlign w:val="center"/>
          </w:tcPr>
          <w:p w14:paraId="76F625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截水沟</w:t>
            </w:r>
          </w:p>
        </w:tc>
        <w:tc>
          <w:tcPr>
            <w:tcW w:w="721" w:type="dxa"/>
            <w:tcBorders>
              <w:top w:val="nil"/>
              <w:left w:val="single" w:color="000000" w:sz="4" w:space="0"/>
              <w:bottom w:val="single" w:color="000000" w:sz="4" w:space="0"/>
              <w:right w:val="single" w:color="000000" w:sz="4" w:space="0"/>
            </w:tcBorders>
            <w:shd w:val="clear" w:color="auto" w:fill="auto"/>
            <w:vAlign w:val="center"/>
          </w:tcPr>
          <w:p w14:paraId="68BD3C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m</w:t>
            </w:r>
          </w:p>
        </w:tc>
        <w:tc>
          <w:tcPr>
            <w:tcW w:w="1201" w:type="dxa"/>
            <w:tcBorders>
              <w:top w:val="nil"/>
              <w:left w:val="single" w:color="000000" w:sz="4" w:space="0"/>
              <w:bottom w:val="single" w:color="000000" w:sz="4" w:space="0"/>
              <w:right w:val="single" w:color="000000" w:sz="4" w:space="0"/>
            </w:tcBorders>
            <w:shd w:val="clear" w:color="auto" w:fill="auto"/>
            <w:vAlign w:val="center"/>
          </w:tcPr>
          <w:p w14:paraId="34B166D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仿宋" w:hAnsi="仿宋" w:eastAsia="仿宋" w:cs="仿宋"/>
                <w:i w:val="0"/>
                <w:iCs w:val="0"/>
                <w:snapToGrid w:val="0"/>
                <w:color w:val="000000"/>
                <w:kern w:val="0"/>
                <w:sz w:val="22"/>
                <w:szCs w:val="22"/>
                <w:u w:val="none"/>
                <w:lang w:val="en-US" w:eastAsia="zh-CN" w:bidi="ar"/>
              </w:rPr>
              <w:t>1420.80</w:t>
            </w:r>
          </w:p>
        </w:tc>
        <w:tc>
          <w:tcPr>
            <w:tcW w:w="838" w:type="dxa"/>
            <w:tcBorders>
              <w:top w:val="nil"/>
              <w:left w:val="single" w:color="000000" w:sz="4" w:space="0"/>
              <w:bottom w:val="single" w:color="000000" w:sz="4" w:space="0"/>
              <w:right w:val="single" w:color="000000" w:sz="4" w:space="0"/>
            </w:tcBorders>
            <w:shd w:val="clear" w:color="auto" w:fill="auto"/>
            <w:vAlign w:val="center"/>
          </w:tcPr>
          <w:p w14:paraId="39449B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200.0</w:t>
            </w:r>
          </w:p>
        </w:tc>
        <w:tc>
          <w:tcPr>
            <w:tcW w:w="1560" w:type="dxa"/>
            <w:tcBorders>
              <w:top w:val="nil"/>
              <w:left w:val="single" w:color="000000" w:sz="4" w:space="0"/>
              <w:bottom w:val="single" w:color="000000" w:sz="4" w:space="0"/>
              <w:right w:val="single" w:color="000000" w:sz="4" w:space="0"/>
            </w:tcBorders>
            <w:shd w:val="clear" w:color="auto" w:fill="auto"/>
            <w:vAlign w:val="center"/>
          </w:tcPr>
          <w:p w14:paraId="4D181A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284160.00</w:t>
            </w:r>
          </w:p>
        </w:tc>
      </w:tr>
      <w:tr w14:paraId="45CC5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3D353">
            <w:pPr>
              <w:jc w:val="center"/>
              <w:rPr>
                <w:rFonts w:hint="eastAsia" w:ascii="宋体" w:hAnsi="宋体" w:eastAsia="宋体" w:cs="宋体"/>
                <w:i w:val="0"/>
                <w:iCs w:val="0"/>
                <w:color w:val="000000"/>
                <w:sz w:val="21"/>
                <w:szCs w:val="21"/>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FE371">
            <w:pPr>
              <w:jc w:val="center"/>
              <w:rPr>
                <w:rFonts w:hint="eastAsia" w:ascii="宋体" w:hAnsi="宋体" w:eastAsia="宋体" w:cs="宋体"/>
                <w:i w:val="0"/>
                <w:iCs w:val="0"/>
                <w:color w:val="000000"/>
                <w:sz w:val="21"/>
                <w:szCs w:val="21"/>
                <w:u w:val="none"/>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D362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2"/>
                <w:szCs w:val="22"/>
                <w:u w:val="none"/>
                <w:lang w:val="en-US" w:eastAsia="zh-CN" w:bidi="ar"/>
              </w:rPr>
              <w:t>合计</w:t>
            </w:r>
          </w:p>
        </w:tc>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9BF44">
            <w:pPr>
              <w:jc w:val="center"/>
              <w:rPr>
                <w:rFonts w:hint="eastAsia" w:ascii="宋体" w:hAnsi="宋体" w:eastAsia="宋体" w:cs="宋体"/>
                <w:b/>
                <w:bCs/>
                <w:i w:val="0"/>
                <w:iCs w:val="0"/>
                <w:color w:val="000000"/>
                <w:sz w:val="21"/>
                <w:szCs w:val="21"/>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307E2">
            <w:pPr>
              <w:jc w:val="center"/>
              <w:rPr>
                <w:rFonts w:hint="eastAsia" w:ascii="宋体" w:hAnsi="宋体" w:eastAsia="宋体" w:cs="宋体"/>
                <w:b/>
                <w:bCs/>
                <w:i w:val="0"/>
                <w:iCs w:val="0"/>
                <w:color w:val="000000"/>
                <w:sz w:val="21"/>
                <w:szCs w:val="21"/>
                <w:u w:val="none"/>
              </w:rPr>
            </w:pP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E40D5">
            <w:pPr>
              <w:jc w:val="center"/>
              <w:rPr>
                <w:rFonts w:hint="eastAsia" w:ascii="宋体" w:hAnsi="宋体" w:eastAsia="宋体" w:cs="宋体"/>
                <w:b/>
                <w:bCs/>
                <w:i w:val="0"/>
                <w:iCs w:val="0"/>
                <w:color w:val="000000"/>
                <w:sz w:val="21"/>
                <w:szCs w:val="21"/>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0AB7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2"/>
                <w:szCs w:val="22"/>
                <w:u w:val="none"/>
                <w:lang w:val="en-US" w:eastAsia="zh-CN" w:bidi="ar"/>
              </w:rPr>
              <w:t>1786218.35</w:t>
            </w:r>
          </w:p>
        </w:tc>
      </w:tr>
    </w:tbl>
    <w:p w14:paraId="0CDC0E81">
      <w:pPr>
        <w:widowControl w:val="0"/>
        <w:kinsoku/>
        <w:jc w:val="center"/>
        <w:rPr>
          <w:rFonts w:hint="eastAsia" w:ascii="宋体" w:hAnsi="宋体" w:eastAsia="宋体" w:cs="宋体"/>
          <w:b/>
          <w:bCs/>
          <w:spacing w:val="-2"/>
        </w:rPr>
      </w:pPr>
    </w:p>
    <w:p w14:paraId="799474DD">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80" w:name="bookmark201"/>
      <w:bookmarkEnd w:id="280"/>
      <w:bookmarkStart w:id="281" w:name="bookmark200"/>
      <w:bookmarkEnd w:id="281"/>
      <w:bookmarkStart w:id="282" w:name="_Toc18233"/>
      <w:bookmarkStart w:id="283" w:name="_Toc16295"/>
      <w:r>
        <w:rPr>
          <w:rFonts w:hint="eastAsia" w:ascii="宋体" w:hAnsi="宋体" w:eastAsia="宋体" w:cs="宋体"/>
          <w:sz w:val="28"/>
          <w:szCs w:val="28"/>
          <w:lang w:eastAsia="zh-CN"/>
        </w:rPr>
        <w:t>（三）总工程量及其经费估算</w:t>
      </w:r>
      <w:bookmarkEnd w:id="282"/>
      <w:bookmarkEnd w:id="283"/>
    </w:p>
    <w:p w14:paraId="4F544496">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经计算，方案服务年限内，矿区生态修复总费用为</w:t>
      </w:r>
      <w:r>
        <w:rPr>
          <w:rFonts w:hint="eastAsia" w:ascii="宋体" w:hAnsi="宋体" w:eastAsia="宋体" w:cs="宋体"/>
          <w:spacing w:val="4"/>
          <w:sz w:val="28"/>
          <w:szCs w:val="28"/>
          <w:lang w:val="en-US" w:eastAsia="zh-CN"/>
        </w:rPr>
        <w:t>2272711.00</w:t>
      </w:r>
      <w:r>
        <w:rPr>
          <w:rFonts w:hint="eastAsia" w:ascii="宋体" w:hAnsi="宋体" w:eastAsia="宋体" w:cs="宋体"/>
          <w:spacing w:val="4"/>
          <w:sz w:val="28"/>
          <w:szCs w:val="28"/>
          <w:lang w:eastAsia="zh-CN"/>
        </w:rPr>
        <w:t>元（约</w:t>
      </w:r>
      <w:r>
        <w:rPr>
          <w:rFonts w:hint="eastAsia" w:ascii="宋体" w:hAnsi="宋体" w:eastAsia="宋体" w:cs="宋体"/>
          <w:spacing w:val="4"/>
          <w:sz w:val="28"/>
          <w:szCs w:val="28"/>
          <w:lang w:val="en-US" w:eastAsia="zh-CN"/>
        </w:rPr>
        <w:t>227.27</w:t>
      </w:r>
      <w:r>
        <w:rPr>
          <w:rFonts w:hint="eastAsia" w:ascii="宋体" w:hAnsi="宋体" w:eastAsia="宋体" w:cs="宋体"/>
          <w:spacing w:val="4"/>
          <w:sz w:val="28"/>
          <w:szCs w:val="28"/>
          <w:lang w:eastAsia="zh-CN"/>
        </w:rPr>
        <w:t>万元），其中工程施工费</w:t>
      </w:r>
      <w:r>
        <w:rPr>
          <w:rFonts w:hint="eastAsia" w:ascii="宋体" w:hAnsi="宋体" w:eastAsia="宋体" w:cs="宋体"/>
          <w:spacing w:val="4"/>
          <w:sz w:val="28"/>
          <w:szCs w:val="28"/>
          <w:lang w:val="en-US" w:eastAsia="zh-CN"/>
        </w:rPr>
        <w:t>1786218.35</w:t>
      </w:r>
      <w:r>
        <w:rPr>
          <w:rFonts w:hint="eastAsia" w:ascii="宋体" w:hAnsi="宋体" w:eastAsia="宋体" w:cs="宋体"/>
          <w:spacing w:val="4"/>
          <w:sz w:val="28"/>
          <w:szCs w:val="28"/>
          <w:lang w:eastAsia="zh-CN"/>
        </w:rPr>
        <w:t>元，占总投资的7</w:t>
      </w:r>
      <w:r>
        <w:rPr>
          <w:rFonts w:hint="eastAsia" w:ascii="宋体" w:hAnsi="宋体" w:eastAsia="宋体" w:cs="宋体"/>
          <w:spacing w:val="4"/>
          <w:sz w:val="28"/>
          <w:szCs w:val="28"/>
          <w:lang w:val="en-US" w:eastAsia="zh-CN"/>
        </w:rPr>
        <w:t>8.59</w:t>
      </w:r>
      <w:r>
        <w:rPr>
          <w:rFonts w:hint="eastAsia" w:ascii="宋体" w:hAnsi="宋体" w:eastAsia="宋体" w:cs="宋体"/>
          <w:spacing w:val="4"/>
          <w:sz w:val="28"/>
          <w:szCs w:val="28"/>
          <w:lang w:eastAsia="zh-CN"/>
        </w:rPr>
        <w:t>%，其他费用</w:t>
      </w:r>
      <w:r>
        <w:rPr>
          <w:rFonts w:hint="eastAsia" w:ascii="宋体" w:hAnsi="宋体" w:eastAsia="宋体" w:cs="宋体"/>
          <w:spacing w:val="4"/>
          <w:sz w:val="28"/>
          <w:szCs w:val="28"/>
          <w:lang w:val="en-US" w:eastAsia="zh-CN"/>
        </w:rPr>
        <w:t>241675.34</w:t>
      </w:r>
      <w:r>
        <w:rPr>
          <w:rFonts w:hint="eastAsia" w:ascii="宋体" w:hAnsi="宋体" w:eastAsia="宋体" w:cs="宋体"/>
          <w:spacing w:val="4"/>
          <w:sz w:val="28"/>
          <w:szCs w:val="28"/>
          <w:lang w:eastAsia="zh-CN"/>
        </w:rPr>
        <w:t>元，占总投资的</w:t>
      </w:r>
      <w:r>
        <w:rPr>
          <w:rFonts w:hint="eastAsia" w:ascii="宋体" w:hAnsi="宋体" w:eastAsia="宋体" w:cs="宋体"/>
          <w:spacing w:val="4"/>
          <w:sz w:val="28"/>
          <w:szCs w:val="28"/>
          <w:lang w:val="en-US" w:eastAsia="zh-CN"/>
        </w:rPr>
        <w:t>10.63</w:t>
      </w:r>
      <w:r>
        <w:rPr>
          <w:rFonts w:hint="eastAsia" w:ascii="宋体" w:hAnsi="宋体" w:eastAsia="宋体" w:cs="宋体"/>
          <w:spacing w:val="4"/>
          <w:sz w:val="28"/>
          <w:szCs w:val="28"/>
          <w:lang w:eastAsia="zh-CN"/>
        </w:rPr>
        <w:t>%，监管费</w:t>
      </w:r>
      <w:r>
        <w:rPr>
          <w:rFonts w:hint="eastAsia" w:ascii="宋体" w:hAnsi="宋体" w:eastAsia="宋体" w:cs="宋体"/>
          <w:spacing w:val="4"/>
          <w:sz w:val="28"/>
          <w:szCs w:val="28"/>
          <w:lang w:val="en-US" w:eastAsia="zh-CN"/>
        </w:rPr>
        <w:t>241675.34</w:t>
      </w:r>
      <w:r>
        <w:rPr>
          <w:rFonts w:hint="eastAsia" w:ascii="宋体" w:hAnsi="宋体" w:eastAsia="宋体" w:cs="宋体"/>
          <w:spacing w:val="4"/>
          <w:sz w:val="28"/>
          <w:szCs w:val="28"/>
          <w:lang w:eastAsia="zh-CN"/>
        </w:rPr>
        <w:t>元，占总投资的7.</w:t>
      </w:r>
      <w:r>
        <w:rPr>
          <w:rFonts w:hint="eastAsia" w:ascii="宋体" w:hAnsi="宋体" w:eastAsia="宋体" w:cs="宋体"/>
          <w:spacing w:val="4"/>
          <w:sz w:val="28"/>
          <w:szCs w:val="28"/>
          <w:lang w:val="en-US" w:eastAsia="zh-CN"/>
        </w:rPr>
        <w:t>86</w:t>
      </w:r>
      <w:r>
        <w:rPr>
          <w:rFonts w:hint="eastAsia" w:ascii="宋体" w:hAnsi="宋体" w:eastAsia="宋体" w:cs="宋体"/>
          <w:spacing w:val="4"/>
          <w:sz w:val="28"/>
          <w:szCs w:val="28"/>
          <w:lang w:eastAsia="zh-CN"/>
        </w:rPr>
        <w:t>%，预备费</w:t>
      </w:r>
      <w:r>
        <w:rPr>
          <w:rFonts w:hint="eastAsia" w:ascii="宋体" w:hAnsi="宋体" w:eastAsia="宋体" w:cs="宋体"/>
          <w:spacing w:val="4"/>
          <w:sz w:val="28"/>
          <w:szCs w:val="28"/>
          <w:lang w:val="en-US" w:eastAsia="zh-CN"/>
        </w:rPr>
        <w:t>66195.47</w:t>
      </w:r>
      <w:r>
        <w:rPr>
          <w:rFonts w:hint="eastAsia" w:ascii="宋体" w:hAnsi="宋体" w:eastAsia="宋体" w:cs="宋体"/>
          <w:spacing w:val="4"/>
          <w:sz w:val="28"/>
          <w:szCs w:val="28"/>
          <w:lang w:eastAsia="zh-CN"/>
        </w:rPr>
        <w:t>元，占总投资的</w:t>
      </w:r>
      <w:r>
        <w:rPr>
          <w:rFonts w:hint="eastAsia" w:ascii="宋体" w:hAnsi="宋体" w:eastAsia="宋体" w:cs="宋体"/>
          <w:spacing w:val="4"/>
          <w:sz w:val="28"/>
          <w:szCs w:val="28"/>
          <w:lang w:val="en-US" w:eastAsia="zh-CN"/>
        </w:rPr>
        <w:t>2.91</w:t>
      </w:r>
      <w:r>
        <w:rPr>
          <w:rFonts w:hint="eastAsia" w:ascii="宋体" w:hAnsi="宋体" w:eastAsia="宋体" w:cs="宋体"/>
          <w:spacing w:val="4"/>
          <w:sz w:val="28"/>
          <w:szCs w:val="28"/>
          <w:lang w:eastAsia="zh-CN"/>
        </w:rPr>
        <w:t>%，详见表6-2。</w:t>
      </w:r>
    </w:p>
    <w:p w14:paraId="70DADD19">
      <w:pPr>
        <w:spacing w:before="3" w:line="227" w:lineRule="auto"/>
        <w:jc w:val="center"/>
        <w:rPr>
          <w:rFonts w:hint="eastAsia" w:ascii="宋体" w:hAnsi="宋体" w:eastAsia="宋体" w:cs="宋体"/>
          <w:b/>
          <w:bCs/>
          <w:spacing w:val="6"/>
          <w:sz w:val="21"/>
          <w:szCs w:val="21"/>
          <w:lang w:eastAsia="zh-CN"/>
        </w:rPr>
      </w:pPr>
    </w:p>
    <w:p w14:paraId="30942C52">
      <w:pPr>
        <w:spacing w:before="3" w:line="227" w:lineRule="auto"/>
        <w:jc w:val="center"/>
        <w:rPr>
          <w:rFonts w:hint="eastAsia" w:ascii="宋体" w:hAnsi="宋体" w:eastAsia="宋体" w:cs="宋体"/>
          <w:b/>
          <w:bCs/>
          <w:spacing w:val="6"/>
          <w:sz w:val="21"/>
          <w:szCs w:val="21"/>
          <w:lang w:eastAsia="zh-CN"/>
        </w:rPr>
      </w:pPr>
    </w:p>
    <w:p w14:paraId="04E6DA69">
      <w:pPr>
        <w:spacing w:before="3" w:line="227" w:lineRule="auto"/>
        <w:jc w:val="center"/>
        <w:rPr>
          <w:rFonts w:hint="eastAsia" w:ascii="宋体" w:hAnsi="宋体" w:eastAsia="宋体" w:cs="宋体"/>
          <w:b/>
          <w:bCs/>
          <w:spacing w:val="6"/>
          <w:sz w:val="21"/>
          <w:szCs w:val="21"/>
          <w:lang w:eastAsia="zh-CN"/>
        </w:rPr>
      </w:pPr>
    </w:p>
    <w:p w14:paraId="0352B5A0">
      <w:pPr>
        <w:spacing w:before="3" w:line="227" w:lineRule="auto"/>
        <w:jc w:val="center"/>
        <w:rPr>
          <w:rFonts w:hint="eastAsia" w:ascii="宋体" w:hAnsi="宋体" w:eastAsia="宋体" w:cs="宋体"/>
          <w:b/>
          <w:bCs/>
          <w:spacing w:val="6"/>
          <w:sz w:val="21"/>
          <w:szCs w:val="21"/>
          <w:lang w:eastAsia="zh-CN"/>
        </w:rPr>
      </w:pPr>
    </w:p>
    <w:p w14:paraId="61EBFF16">
      <w:pPr>
        <w:spacing w:before="3" w:line="227" w:lineRule="auto"/>
        <w:jc w:val="center"/>
        <w:rPr>
          <w:rFonts w:hint="eastAsia" w:ascii="宋体" w:hAnsi="宋体" w:eastAsia="宋体" w:cs="宋体"/>
          <w:b/>
          <w:bCs/>
          <w:spacing w:val="6"/>
          <w:sz w:val="21"/>
          <w:szCs w:val="21"/>
          <w:lang w:eastAsia="zh-CN"/>
        </w:rPr>
      </w:pPr>
    </w:p>
    <w:p w14:paraId="53378ED9">
      <w:pPr>
        <w:spacing w:before="3" w:line="227" w:lineRule="auto"/>
        <w:jc w:val="center"/>
        <w:rPr>
          <w:rFonts w:hint="eastAsia" w:ascii="宋体" w:hAnsi="宋体" w:eastAsia="宋体" w:cs="宋体"/>
          <w:b/>
          <w:bCs/>
          <w:spacing w:val="6"/>
          <w:sz w:val="21"/>
          <w:szCs w:val="21"/>
          <w:lang w:eastAsia="zh-CN"/>
        </w:rPr>
      </w:pPr>
    </w:p>
    <w:p w14:paraId="3FC39215">
      <w:pPr>
        <w:spacing w:before="3" w:line="227" w:lineRule="auto"/>
        <w:jc w:val="center"/>
        <w:rPr>
          <w:rFonts w:hint="eastAsia" w:ascii="宋体" w:hAnsi="宋体" w:eastAsia="宋体" w:cs="宋体"/>
          <w:b/>
          <w:bCs/>
          <w:spacing w:val="6"/>
          <w:sz w:val="21"/>
          <w:szCs w:val="21"/>
          <w:lang w:eastAsia="zh-CN"/>
        </w:rPr>
      </w:pPr>
    </w:p>
    <w:p w14:paraId="0F422209">
      <w:pPr>
        <w:spacing w:before="3" w:line="227" w:lineRule="auto"/>
        <w:jc w:val="center"/>
        <w:rPr>
          <w:rFonts w:hint="eastAsia" w:ascii="宋体" w:hAnsi="宋体" w:eastAsia="宋体" w:cs="宋体"/>
          <w:b/>
          <w:bCs/>
          <w:spacing w:val="6"/>
          <w:sz w:val="21"/>
          <w:szCs w:val="21"/>
          <w:lang w:eastAsia="zh-CN"/>
        </w:rPr>
      </w:pPr>
    </w:p>
    <w:p w14:paraId="6ED80389">
      <w:pPr>
        <w:spacing w:before="3" w:line="227" w:lineRule="auto"/>
        <w:jc w:val="center"/>
        <w:rPr>
          <w:rFonts w:hint="eastAsia" w:ascii="宋体" w:hAnsi="宋体" w:eastAsia="宋体" w:cs="宋体"/>
          <w:b/>
          <w:bCs/>
          <w:spacing w:val="6"/>
          <w:sz w:val="21"/>
          <w:szCs w:val="21"/>
          <w:lang w:eastAsia="zh-CN"/>
        </w:rPr>
      </w:pPr>
      <w:r>
        <w:rPr>
          <w:rFonts w:hint="eastAsia" w:ascii="宋体" w:hAnsi="宋体" w:eastAsia="宋体" w:cs="宋体"/>
          <w:b/>
          <w:bCs/>
          <w:spacing w:val="6"/>
          <w:sz w:val="21"/>
          <w:szCs w:val="21"/>
          <w:lang w:eastAsia="zh-CN"/>
        </w:rPr>
        <w:t>表6-2</w:t>
      </w:r>
      <w:r>
        <w:rPr>
          <w:rFonts w:hint="eastAsia" w:ascii="宋体" w:hAnsi="宋体" w:eastAsia="宋体" w:cs="宋体"/>
          <w:b/>
          <w:bCs/>
          <w:spacing w:val="6"/>
          <w:sz w:val="21"/>
          <w:szCs w:val="21"/>
          <w:lang w:val="en-US" w:eastAsia="zh-CN"/>
        </w:rPr>
        <w:t xml:space="preserve">  </w:t>
      </w:r>
      <w:r>
        <w:rPr>
          <w:rFonts w:hint="eastAsia" w:ascii="宋体" w:hAnsi="宋体" w:eastAsia="宋体" w:cs="宋体"/>
          <w:b/>
          <w:bCs/>
          <w:spacing w:val="6"/>
          <w:sz w:val="21"/>
          <w:szCs w:val="21"/>
          <w:lang w:eastAsia="zh-CN"/>
        </w:rPr>
        <w:t>投资汇总表</w:t>
      </w:r>
    </w:p>
    <w:p w14:paraId="700C7ED3">
      <w:pPr>
        <w:jc w:val="right"/>
        <w:rPr>
          <w:rFonts w:ascii="宋体" w:hAnsi="宋体" w:eastAsia="宋体" w:cs="宋体"/>
          <w:spacing w:val="7"/>
        </w:rPr>
      </w:pPr>
      <w:r>
        <w:rPr>
          <w:rFonts w:ascii="宋体" w:hAnsi="宋体" w:eastAsia="宋体" w:cs="宋体"/>
          <w:spacing w:val="7"/>
        </w:rPr>
        <w:t>单位：元</w:t>
      </w:r>
    </w:p>
    <w:tbl>
      <w:tblPr>
        <w:tblStyle w:val="17"/>
        <w:tblW w:w="829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55"/>
        <w:gridCol w:w="2190"/>
        <w:gridCol w:w="2799"/>
        <w:gridCol w:w="1855"/>
      </w:tblGrid>
      <w:tr w14:paraId="7EF29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4F14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序号</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A877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项目名称</w:t>
            </w:r>
          </w:p>
        </w:tc>
        <w:tc>
          <w:tcPr>
            <w:tcW w:w="2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E1E4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金额</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4A2B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备注（占比%）</w:t>
            </w:r>
          </w:p>
        </w:tc>
      </w:tr>
      <w:tr w14:paraId="5665E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6572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一</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5F24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工程施工费</w:t>
            </w:r>
          </w:p>
        </w:tc>
        <w:tc>
          <w:tcPr>
            <w:tcW w:w="2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F55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1786218.35</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6D525">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78.59</w:t>
            </w:r>
          </w:p>
        </w:tc>
      </w:tr>
      <w:tr w14:paraId="5F37D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082F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1</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312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地貌重塑工程</w:t>
            </w:r>
          </w:p>
        </w:tc>
        <w:tc>
          <w:tcPr>
            <w:tcW w:w="2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2C1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416526.63</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D64A0">
            <w:pPr>
              <w:jc w:val="center"/>
              <w:rPr>
                <w:rFonts w:hint="eastAsia" w:ascii="宋体" w:hAnsi="宋体" w:eastAsia="宋体" w:cs="宋体"/>
                <w:i w:val="0"/>
                <w:iCs w:val="0"/>
                <w:color w:val="000000"/>
                <w:sz w:val="21"/>
                <w:szCs w:val="21"/>
                <w:u w:val="none"/>
              </w:rPr>
            </w:pPr>
          </w:p>
        </w:tc>
      </w:tr>
      <w:tr w14:paraId="18AC9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385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2"/>
                <w:szCs w:val="22"/>
                <w:u w:val="none"/>
                <w:lang w:val="en-US" w:eastAsia="zh-CN" w:bidi="ar"/>
              </w:rPr>
              <w:t>2</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1B5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生态修复工程</w:t>
            </w:r>
          </w:p>
        </w:tc>
        <w:tc>
          <w:tcPr>
            <w:tcW w:w="2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895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1085531.72</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992276">
            <w:pPr>
              <w:jc w:val="center"/>
              <w:rPr>
                <w:rFonts w:hint="eastAsia" w:ascii="宋体" w:hAnsi="宋体" w:eastAsia="宋体" w:cs="宋体"/>
                <w:i w:val="0"/>
                <w:iCs w:val="0"/>
                <w:color w:val="000000"/>
                <w:sz w:val="21"/>
                <w:szCs w:val="21"/>
                <w:u w:val="none"/>
              </w:rPr>
            </w:pPr>
          </w:p>
        </w:tc>
      </w:tr>
      <w:tr w14:paraId="18983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F424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二</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EA4B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其他费用投资</w:t>
            </w:r>
          </w:p>
        </w:tc>
        <w:tc>
          <w:tcPr>
            <w:tcW w:w="2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9B3D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241675.34</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3BF9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10.63</w:t>
            </w:r>
          </w:p>
        </w:tc>
      </w:tr>
      <w:tr w14:paraId="28986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8C5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1</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C92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前期工作费</w:t>
            </w:r>
          </w:p>
        </w:tc>
        <w:tc>
          <w:tcPr>
            <w:tcW w:w="2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DB9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93419.22</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5F7F8">
            <w:pPr>
              <w:jc w:val="center"/>
              <w:rPr>
                <w:rFonts w:hint="eastAsia" w:ascii="宋体" w:hAnsi="宋体" w:eastAsia="宋体" w:cs="宋体"/>
                <w:i w:val="0"/>
                <w:iCs w:val="0"/>
                <w:color w:val="000000"/>
                <w:sz w:val="21"/>
                <w:szCs w:val="21"/>
                <w:u w:val="none"/>
              </w:rPr>
            </w:pPr>
          </w:p>
        </w:tc>
      </w:tr>
      <w:tr w14:paraId="27455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F59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2</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32A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工程监理费</w:t>
            </w:r>
          </w:p>
        </w:tc>
        <w:tc>
          <w:tcPr>
            <w:tcW w:w="2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6B5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42869.24</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B120A">
            <w:pPr>
              <w:jc w:val="center"/>
              <w:rPr>
                <w:rFonts w:hint="eastAsia" w:ascii="宋体" w:hAnsi="宋体" w:eastAsia="宋体" w:cs="宋体"/>
                <w:i w:val="0"/>
                <w:iCs w:val="0"/>
                <w:color w:val="000000"/>
                <w:sz w:val="21"/>
                <w:szCs w:val="21"/>
                <w:u w:val="none"/>
              </w:rPr>
            </w:pPr>
          </w:p>
        </w:tc>
      </w:tr>
      <w:tr w14:paraId="53CA3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BCF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3</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923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竣工验收费</w:t>
            </w:r>
          </w:p>
        </w:tc>
        <w:tc>
          <w:tcPr>
            <w:tcW w:w="2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478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55372.77</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CBD1A">
            <w:pPr>
              <w:jc w:val="center"/>
              <w:rPr>
                <w:rFonts w:hint="eastAsia" w:ascii="宋体" w:hAnsi="宋体" w:eastAsia="宋体" w:cs="宋体"/>
                <w:i w:val="0"/>
                <w:iCs w:val="0"/>
                <w:color w:val="000000"/>
                <w:sz w:val="21"/>
                <w:szCs w:val="21"/>
                <w:u w:val="none"/>
              </w:rPr>
            </w:pPr>
          </w:p>
        </w:tc>
      </w:tr>
      <w:tr w14:paraId="05C80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AF4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4</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6C2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业主管理费</w:t>
            </w:r>
          </w:p>
        </w:tc>
        <w:tc>
          <w:tcPr>
            <w:tcW w:w="2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FA7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50014.11</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20079">
            <w:pPr>
              <w:jc w:val="center"/>
              <w:rPr>
                <w:rFonts w:hint="eastAsia" w:ascii="宋体" w:hAnsi="宋体" w:eastAsia="宋体" w:cs="宋体"/>
                <w:i w:val="0"/>
                <w:iCs w:val="0"/>
                <w:color w:val="000000"/>
                <w:sz w:val="21"/>
                <w:szCs w:val="21"/>
                <w:u w:val="none"/>
              </w:rPr>
            </w:pPr>
          </w:p>
        </w:tc>
      </w:tr>
      <w:tr w14:paraId="292CE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F89D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三</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5FB6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监管费</w:t>
            </w:r>
          </w:p>
        </w:tc>
        <w:tc>
          <w:tcPr>
            <w:tcW w:w="2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B582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178621.84</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045E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7.86</w:t>
            </w:r>
          </w:p>
        </w:tc>
      </w:tr>
      <w:tr w14:paraId="5EE3A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116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1</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A08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工程监测费</w:t>
            </w:r>
          </w:p>
        </w:tc>
        <w:tc>
          <w:tcPr>
            <w:tcW w:w="2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CAD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178621.84</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298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施工费的1%</w:t>
            </w:r>
          </w:p>
        </w:tc>
      </w:tr>
      <w:tr w14:paraId="6E148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B1F51">
            <w:pPr>
              <w:jc w:val="center"/>
              <w:rPr>
                <w:rFonts w:hint="eastAsia" w:ascii="宋体" w:hAnsi="宋体" w:eastAsia="宋体" w:cs="宋体"/>
                <w:i w:val="0"/>
                <w:iCs w:val="0"/>
                <w:color w:val="000000"/>
                <w:sz w:val="21"/>
                <w:szCs w:val="21"/>
                <w:u w:val="none"/>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22F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一至三之和</w:t>
            </w:r>
          </w:p>
        </w:tc>
        <w:tc>
          <w:tcPr>
            <w:tcW w:w="2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CDC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snapToGrid w:val="0"/>
                <w:color w:val="000000"/>
                <w:kern w:val="0"/>
                <w:sz w:val="24"/>
                <w:szCs w:val="24"/>
                <w:u w:val="none"/>
                <w:lang w:val="en-US" w:eastAsia="zh-CN" w:bidi="ar"/>
              </w:rPr>
              <w:t>2206515.53</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9CE5C">
            <w:pPr>
              <w:jc w:val="center"/>
              <w:rPr>
                <w:rFonts w:hint="eastAsia" w:ascii="宋体" w:hAnsi="宋体" w:eastAsia="宋体" w:cs="宋体"/>
                <w:i w:val="0"/>
                <w:iCs w:val="0"/>
                <w:color w:val="000000"/>
                <w:sz w:val="21"/>
                <w:szCs w:val="21"/>
                <w:u w:val="none"/>
              </w:rPr>
            </w:pPr>
          </w:p>
        </w:tc>
      </w:tr>
      <w:tr w14:paraId="4E1BF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6B85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四</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D938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不可预见费</w:t>
            </w:r>
          </w:p>
        </w:tc>
        <w:tc>
          <w:tcPr>
            <w:tcW w:w="2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CE78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66195.47</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67E6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2.91</w:t>
            </w:r>
          </w:p>
        </w:tc>
      </w:tr>
      <w:tr w14:paraId="20C0A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1565D">
            <w:pPr>
              <w:jc w:val="center"/>
              <w:rPr>
                <w:rFonts w:hint="eastAsia" w:ascii="宋体" w:hAnsi="宋体" w:eastAsia="宋体" w:cs="宋体"/>
                <w:i w:val="0"/>
                <w:iCs w:val="0"/>
                <w:color w:val="000000"/>
                <w:sz w:val="21"/>
                <w:szCs w:val="21"/>
                <w:u w:val="none"/>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8368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总投资</w:t>
            </w:r>
          </w:p>
        </w:tc>
        <w:tc>
          <w:tcPr>
            <w:tcW w:w="2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89C3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snapToGrid w:val="0"/>
                <w:color w:val="000000"/>
                <w:kern w:val="0"/>
                <w:sz w:val="24"/>
                <w:szCs w:val="24"/>
                <w:u w:val="none"/>
                <w:lang w:val="en-US" w:eastAsia="zh-CN" w:bidi="ar"/>
              </w:rPr>
              <w:t>2272711.00</w:t>
            </w:r>
          </w:p>
        </w:tc>
        <w:tc>
          <w:tcPr>
            <w:tcW w:w="1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F1250">
            <w:pPr>
              <w:jc w:val="center"/>
              <w:rPr>
                <w:rFonts w:hint="eastAsia" w:ascii="宋体" w:hAnsi="宋体" w:eastAsia="宋体" w:cs="宋体"/>
                <w:i w:val="0"/>
                <w:iCs w:val="0"/>
                <w:color w:val="000000"/>
                <w:sz w:val="21"/>
                <w:szCs w:val="21"/>
                <w:u w:val="none"/>
              </w:rPr>
            </w:pPr>
          </w:p>
        </w:tc>
      </w:tr>
    </w:tbl>
    <w:p w14:paraId="19B0F641">
      <w:pPr>
        <w:spacing w:line="19" w:lineRule="exact"/>
      </w:pPr>
    </w:p>
    <w:p w14:paraId="34E3E02C">
      <w:pPr>
        <w:pStyle w:val="3"/>
        <w:keepNext w:val="0"/>
        <w:keepLines w:val="0"/>
        <w:widowControl w:val="0"/>
        <w:adjustRightInd/>
        <w:snapToGrid/>
        <w:spacing w:before="0" w:after="0" w:line="360" w:lineRule="auto"/>
        <w:rPr>
          <w:b w:val="0"/>
          <w:bCs/>
          <w:lang w:eastAsia="zh-CN"/>
        </w:rPr>
      </w:pPr>
      <w:bookmarkStart w:id="284" w:name="bookmark202"/>
      <w:bookmarkEnd w:id="284"/>
      <w:bookmarkStart w:id="285" w:name="bookmark203"/>
      <w:bookmarkEnd w:id="285"/>
      <w:bookmarkStart w:id="286" w:name="_Toc11204"/>
      <w:r>
        <w:rPr>
          <w:rFonts w:hint="eastAsia"/>
          <w:b w:val="0"/>
          <w:bCs/>
          <w:lang w:eastAsia="zh-CN"/>
        </w:rPr>
        <w:t>三、阶段工作任务与经费安排</w:t>
      </w:r>
      <w:bookmarkEnd w:id="286"/>
    </w:p>
    <w:p w14:paraId="251BD98B">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87" w:name="bookmark205"/>
      <w:bookmarkEnd w:id="287"/>
      <w:bookmarkStart w:id="288" w:name="bookmark204"/>
      <w:bookmarkEnd w:id="288"/>
      <w:bookmarkStart w:id="289" w:name="_Toc10880"/>
      <w:bookmarkStart w:id="290" w:name="_Toc16096"/>
      <w:r>
        <w:rPr>
          <w:rFonts w:hint="eastAsia" w:ascii="宋体" w:hAnsi="宋体" w:eastAsia="宋体" w:cs="宋体"/>
          <w:sz w:val="28"/>
          <w:szCs w:val="28"/>
          <w:lang w:eastAsia="zh-CN"/>
        </w:rPr>
        <w:t>（一）阶段工作任务</w:t>
      </w:r>
      <w:bookmarkEnd w:id="289"/>
      <w:bookmarkEnd w:id="290"/>
    </w:p>
    <w:p w14:paraId="4BBABC43">
      <w:pPr>
        <w:kinsoku/>
        <w:adjustRightInd/>
        <w:snapToGrid/>
        <w:spacing w:line="360" w:lineRule="auto"/>
        <w:ind w:firstLine="580" w:firstLineChars="200"/>
        <w:jc w:val="both"/>
        <w:rPr>
          <w:rFonts w:hint="eastAsia" w:ascii="宋体" w:hAnsi="宋体" w:eastAsia="宋体" w:cs="宋体"/>
          <w:sz w:val="28"/>
          <w:szCs w:val="28"/>
          <w:lang w:eastAsia="zh-CN"/>
        </w:rPr>
      </w:pPr>
      <w:r>
        <w:rPr>
          <w:rFonts w:hint="eastAsia" w:ascii="宋体" w:hAnsi="宋体" w:eastAsia="宋体" w:cs="宋体"/>
          <w:spacing w:val="5"/>
          <w:sz w:val="28"/>
          <w:szCs w:val="28"/>
          <w:lang w:eastAsia="zh-CN"/>
        </w:rPr>
        <w:t>阶段工作</w:t>
      </w:r>
      <w:r>
        <w:rPr>
          <w:rFonts w:ascii="宋体" w:hAnsi="宋体" w:eastAsia="宋体" w:cs="宋体"/>
          <w:spacing w:val="5"/>
          <w:sz w:val="28"/>
          <w:szCs w:val="28"/>
          <w:lang w:eastAsia="zh-CN"/>
        </w:rPr>
        <w:t>划分为</w:t>
      </w:r>
      <w:r>
        <w:rPr>
          <w:rFonts w:hint="eastAsia" w:ascii="宋体" w:hAnsi="宋体" w:eastAsia="宋体" w:cs="宋体"/>
          <w:spacing w:val="5"/>
          <w:sz w:val="28"/>
          <w:szCs w:val="28"/>
          <w:lang w:val="en-US" w:eastAsia="zh-CN"/>
        </w:rPr>
        <w:t>2</w:t>
      </w:r>
      <w:r>
        <w:rPr>
          <w:rFonts w:ascii="宋体" w:hAnsi="宋体" w:eastAsia="宋体" w:cs="宋体"/>
          <w:spacing w:val="5"/>
          <w:sz w:val="28"/>
          <w:szCs w:val="28"/>
          <w:lang w:eastAsia="zh-CN"/>
        </w:rPr>
        <w:t>个阶段，分为近期（2025.12-20</w:t>
      </w:r>
      <w:r>
        <w:rPr>
          <w:rFonts w:hint="eastAsia" w:ascii="宋体" w:hAnsi="宋体" w:eastAsia="宋体" w:cs="宋体"/>
          <w:spacing w:val="5"/>
          <w:sz w:val="28"/>
          <w:szCs w:val="28"/>
          <w:lang w:val="en-US" w:eastAsia="zh-CN"/>
        </w:rPr>
        <w:t>26</w:t>
      </w:r>
      <w:r>
        <w:rPr>
          <w:rFonts w:ascii="宋体" w:hAnsi="宋体" w:eastAsia="宋体" w:cs="宋体"/>
          <w:spacing w:val="4"/>
          <w:sz w:val="28"/>
          <w:szCs w:val="28"/>
          <w:lang w:eastAsia="zh-CN"/>
        </w:rPr>
        <w:t>.12）</w:t>
      </w:r>
      <w:r>
        <w:rPr>
          <w:rFonts w:ascii="宋体" w:hAnsi="宋体" w:eastAsia="宋体" w:cs="宋体"/>
          <w:sz w:val="28"/>
          <w:szCs w:val="28"/>
          <w:lang w:eastAsia="zh-CN"/>
        </w:rPr>
        <w:t>和远期（20</w:t>
      </w:r>
      <w:r>
        <w:rPr>
          <w:rFonts w:hint="eastAsia" w:ascii="宋体" w:hAnsi="宋体" w:eastAsia="宋体" w:cs="宋体"/>
          <w:sz w:val="28"/>
          <w:szCs w:val="28"/>
          <w:lang w:val="en-US" w:eastAsia="zh-CN"/>
        </w:rPr>
        <w:t>26.12</w:t>
      </w:r>
      <w:r>
        <w:rPr>
          <w:rFonts w:ascii="宋体" w:hAnsi="宋体" w:eastAsia="宋体" w:cs="宋体"/>
          <w:spacing w:val="-1"/>
          <w:sz w:val="28"/>
          <w:szCs w:val="28"/>
          <w:lang w:eastAsia="zh-CN"/>
        </w:rPr>
        <w:t>-20</w:t>
      </w:r>
      <w:r>
        <w:rPr>
          <w:rFonts w:hint="eastAsia" w:ascii="宋体" w:hAnsi="宋体" w:eastAsia="宋体" w:cs="宋体"/>
          <w:spacing w:val="-1"/>
          <w:sz w:val="28"/>
          <w:szCs w:val="28"/>
          <w:lang w:val="en-US" w:eastAsia="zh-CN"/>
        </w:rPr>
        <w:t>27</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6</w:t>
      </w:r>
      <w:r>
        <w:rPr>
          <w:rFonts w:ascii="宋体" w:hAnsi="宋体" w:eastAsia="宋体" w:cs="宋体"/>
          <w:spacing w:val="-1"/>
          <w:sz w:val="28"/>
          <w:szCs w:val="28"/>
          <w:lang w:eastAsia="zh-CN"/>
        </w:rPr>
        <w:t>）。</w:t>
      </w:r>
    </w:p>
    <w:p w14:paraId="198FADEF">
      <w:pPr>
        <w:kinsoku/>
        <w:adjustRightInd/>
        <w:snapToGrid/>
        <w:spacing w:line="360" w:lineRule="auto"/>
        <w:ind w:firstLine="556" w:firstLineChars="200"/>
        <w:jc w:val="both"/>
        <w:rPr>
          <w:rFonts w:hint="eastAsia" w:ascii="宋体" w:hAnsi="宋体" w:eastAsia="宋体" w:cs="宋体"/>
          <w:sz w:val="28"/>
          <w:szCs w:val="28"/>
          <w:lang w:eastAsia="zh-CN"/>
        </w:rPr>
      </w:pPr>
      <w:r>
        <w:rPr>
          <w:rFonts w:ascii="宋体" w:hAnsi="宋体" w:eastAsia="宋体" w:cs="宋体"/>
          <w:spacing w:val="-1"/>
          <w:sz w:val="28"/>
          <w:szCs w:val="28"/>
          <w:lang w:eastAsia="zh-CN"/>
        </w:rPr>
        <w:t>1、近期（2025.12-20</w:t>
      </w:r>
      <w:r>
        <w:rPr>
          <w:rFonts w:hint="eastAsia" w:ascii="宋体" w:hAnsi="宋体" w:eastAsia="宋体" w:cs="宋体"/>
          <w:spacing w:val="-1"/>
          <w:sz w:val="28"/>
          <w:szCs w:val="28"/>
          <w:lang w:val="en-US" w:eastAsia="zh-CN"/>
        </w:rPr>
        <w:t>26</w:t>
      </w:r>
      <w:r>
        <w:rPr>
          <w:rFonts w:ascii="宋体" w:hAnsi="宋体" w:eastAsia="宋体" w:cs="宋体"/>
          <w:spacing w:val="-1"/>
          <w:sz w:val="28"/>
          <w:szCs w:val="28"/>
          <w:lang w:eastAsia="zh-CN"/>
        </w:rPr>
        <w:t>.12）</w:t>
      </w:r>
      <w:r>
        <w:rPr>
          <w:rFonts w:ascii="宋体" w:hAnsi="宋体" w:eastAsia="宋体" w:cs="宋体"/>
          <w:spacing w:val="-2"/>
          <w:sz w:val="28"/>
          <w:szCs w:val="28"/>
          <w:lang w:eastAsia="zh-CN"/>
        </w:rPr>
        <w:t>实施计划</w:t>
      </w:r>
    </w:p>
    <w:p w14:paraId="73D749C6">
      <w:pPr>
        <w:kinsoku/>
        <w:adjustRightInd/>
        <w:snapToGrid/>
        <w:spacing w:line="360" w:lineRule="auto"/>
        <w:ind w:firstLine="568" w:firstLineChars="200"/>
        <w:jc w:val="both"/>
        <w:rPr>
          <w:rFonts w:hint="eastAsia" w:ascii="宋体" w:hAnsi="宋体" w:eastAsia="宋体" w:cs="宋体"/>
          <w:sz w:val="28"/>
          <w:szCs w:val="28"/>
          <w:lang w:eastAsia="zh-CN"/>
        </w:rPr>
      </w:pPr>
      <w:r>
        <w:rPr>
          <w:rFonts w:ascii="宋体" w:hAnsi="宋体" w:eastAsia="宋体" w:cs="宋体"/>
          <w:spacing w:val="2"/>
          <w:sz w:val="28"/>
          <w:szCs w:val="28"/>
          <w:lang w:eastAsia="zh-CN"/>
        </w:rPr>
        <w:t>采矿期间按照边生产边治理的原则，对于矿山建设、</w:t>
      </w:r>
      <w:r>
        <w:rPr>
          <w:rFonts w:ascii="宋体" w:hAnsi="宋体" w:eastAsia="宋体" w:cs="宋体"/>
          <w:spacing w:val="1"/>
          <w:sz w:val="28"/>
          <w:szCs w:val="28"/>
          <w:lang w:eastAsia="zh-CN"/>
        </w:rPr>
        <w:t>采矿引发的矿山</w:t>
      </w:r>
      <w:r>
        <w:rPr>
          <w:rFonts w:ascii="宋体" w:hAnsi="宋体" w:eastAsia="宋体" w:cs="宋体"/>
          <w:spacing w:val="2"/>
          <w:sz w:val="28"/>
          <w:szCs w:val="28"/>
          <w:lang w:eastAsia="zh-CN"/>
        </w:rPr>
        <w:t>地质环境问题，在不影响生产前提下边生产边治理</w:t>
      </w:r>
      <w:r>
        <w:rPr>
          <w:rFonts w:ascii="宋体" w:hAnsi="宋体" w:eastAsia="宋体" w:cs="宋体"/>
          <w:spacing w:val="1"/>
          <w:sz w:val="28"/>
          <w:szCs w:val="28"/>
          <w:lang w:eastAsia="zh-CN"/>
        </w:rPr>
        <w:t>，对开采过程中形成的</w:t>
      </w:r>
      <w:r>
        <w:rPr>
          <w:rFonts w:ascii="宋体" w:hAnsi="宋体" w:eastAsia="宋体" w:cs="宋体"/>
          <w:spacing w:val="-2"/>
          <w:sz w:val="28"/>
          <w:szCs w:val="28"/>
          <w:lang w:eastAsia="zh-CN"/>
        </w:rPr>
        <w:t>终了边坡进行台阶修整和恢复治理，并继续开展地质</w:t>
      </w:r>
      <w:r>
        <w:rPr>
          <w:rFonts w:ascii="宋体" w:hAnsi="宋体" w:eastAsia="宋体" w:cs="宋体"/>
          <w:spacing w:val="-3"/>
          <w:sz w:val="28"/>
          <w:szCs w:val="28"/>
          <w:lang w:eastAsia="zh-CN"/>
        </w:rPr>
        <w:t>灾害防治及监测工作，</w:t>
      </w:r>
      <w:r>
        <w:rPr>
          <w:rFonts w:ascii="宋体" w:hAnsi="宋体" w:eastAsia="宋体" w:cs="宋体"/>
          <w:sz w:val="28"/>
          <w:szCs w:val="28"/>
          <w:lang w:eastAsia="zh-CN"/>
        </w:rPr>
        <w:t>修建采场外围的截排水沟，对开采过程中产生</w:t>
      </w:r>
      <w:r>
        <w:rPr>
          <w:rFonts w:ascii="宋体" w:hAnsi="宋体" w:eastAsia="宋体" w:cs="宋体"/>
          <w:spacing w:val="-1"/>
          <w:sz w:val="28"/>
          <w:szCs w:val="28"/>
          <w:lang w:eastAsia="zh-CN"/>
        </w:rPr>
        <w:t>的</w:t>
      </w:r>
      <w:r>
        <w:rPr>
          <w:rFonts w:hint="eastAsia" w:ascii="宋体" w:hAnsi="宋体" w:eastAsia="宋体" w:cs="宋体"/>
          <w:spacing w:val="-1"/>
          <w:sz w:val="28"/>
          <w:szCs w:val="28"/>
          <w:lang w:eastAsia="zh-CN"/>
        </w:rPr>
        <w:t>风成沙及坡积物清理</w:t>
      </w:r>
      <w:r>
        <w:rPr>
          <w:rFonts w:ascii="宋体" w:hAnsi="宋体" w:eastAsia="宋体" w:cs="宋体"/>
          <w:spacing w:val="-1"/>
          <w:sz w:val="28"/>
          <w:szCs w:val="28"/>
          <w:lang w:eastAsia="zh-CN"/>
        </w:rPr>
        <w:t>及时进行清理。</w:t>
      </w:r>
    </w:p>
    <w:p w14:paraId="1688E927">
      <w:pPr>
        <w:kinsoku/>
        <w:adjustRightInd/>
        <w:snapToGrid/>
        <w:spacing w:line="360" w:lineRule="auto"/>
        <w:ind w:firstLine="556" w:firstLineChars="200"/>
        <w:jc w:val="both"/>
        <w:rPr>
          <w:rFonts w:hint="eastAsia" w:ascii="宋体" w:hAnsi="宋体" w:eastAsia="宋体" w:cs="宋体"/>
          <w:sz w:val="28"/>
          <w:szCs w:val="28"/>
          <w:lang w:eastAsia="zh-CN"/>
        </w:rPr>
      </w:pPr>
      <w:r>
        <w:rPr>
          <w:rFonts w:hint="eastAsia" w:ascii="宋体" w:hAnsi="宋体" w:eastAsia="宋体" w:cs="宋体"/>
          <w:spacing w:val="-1"/>
          <w:sz w:val="28"/>
          <w:szCs w:val="28"/>
          <w:lang w:val="en-US" w:eastAsia="zh-CN"/>
        </w:rPr>
        <w:t>2、</w:t>
      </w:r>
      <w:r>
        <w:rPr>
          <w:rFonts w:ascii="宋体" w:hAnsi="宋体" w:eastAsia="宋体" w:cs="宋体"/>
          <w:spacing w:val="-1"/>
          <w:sz w:val="28"/>
          <w:szCs w:val="28"/>
          <w:lang w:eastAsia="zh-CN"/>
        </w:rPr>
        <w:t>远期（20</w:t>
      </w:r>
      <w:r>
        <w:rPr>
          <w:rFonts w:hint="eastAsia" w:ascii="宋体" w:hAnsi="宋体" w:eastAsia="宋体" w:cs="宋体"/>
          <w:spacing w:val="-1"/>
          <w:sz w:val="28"/>
          <w:szCs w:val="28"/>
          <w:lang w:val="en-US" w:eastAsia="zh-CN"/>
        </w:rPr>
        <w:t>26.12</w:t>
      </w:r>
      <w:r>
        <w:rPr>
          <w:rFonts w:ascii="宋体" w:hAnsi="宋体" w:eastAsia="宋体" w:cs="宋体"/>
          <w:spacing w:val="-1"/>
          <w:sz w:val="28"/>
          <w:szCs w:val="28"/>
          <w:lang w:eastAsia="zh-CN"/>
        </w:rPr>
        <w:t>-20</w:t>
      </w:r>
      <w:r>
        <w:rPr>
          <w:rFonts w:hint="eastAsia" w:ascii="宋体" w:hAnsi="宋体" w:eastAsia="宋体" w:cs="宋体"/>
          <w:spacing w:val="-1"/>
          <w:sz w:val="28"/>
          <w:szCs w:val="28"/>
          <w:lang w:val="en-US" w:eastAsia="zh-CN"/>
        </w:rPr>
        <w:t>27</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6</w:t>
      </w:r>
      <w:r>
        <w:rPr>
          <w:rFonts w:ascii="宋体" w:hAnsi="宋体" w:eastAsia="宋体" w:cs="宋体"/>
          <w:spacing w:val="-1"/>
          <w:sz w:val="28"/>
          <w:szCs w:val="28"/>
          <w:lang w:eastAsia="zh-CN"/>
        </w:rPr>
        <w:t>）实施计划</w:t>
      </w:r>
    </w:p>
    <w:p w14:paraId="229594FF">
      <w:pPr>
        <w:kinsoku/>
        <w:adjustRightInd/>
        <w:snapToGrid/>
        <w:spacing w:line="360" w:lineRule="auto"/>
        <w:ind w:firstLine="564" w:firstLineChars="200"/>
        <w:jc w:val="both"/>
        <w:rPr>
          <w:rFonts w:hint="eastAsia" w:ascii="宋体" w:hAnsi="宋体" w:eastAsia="宋体" w:cs="宋体"/>
          <w:sz w:val="28"/>
          <w:szCs w:val="28"/>
          <w:lang w:eastAsia="zh-CN"/>
        </w:rPr>
      </w:pPr>
      <w:r>
        <w:rPr>
          <w:rFonts w:ascii="宋体" w:hAnsi="宋体" w:eastAsia="宋体" w:cs="宋体"/>
          <w:spacing w:val="1"/>
          <w:sz w:val="28"/>
          <w:szCs w:val="28"/>
          <w:lang w:eastAsia="zh-CN"/>
        </w:rPr>
        <w:t>该期为矿山</w:t>
      </w:r>
      <w:r>
        <w:rPr>
          <w:rFonts w:hint="eastAsia" w:ascii="宋体" w:hAnsi="宋体" w:eastAsia="宋体" w:cs="宋体"/>
          <w:spacing w:val="1"/>
          <w:sz w:val="28"/>
          <w:szCs w:val="28"/>
          <w:lang w:eastAsia="zh-CN"/>
        </w:rPr>
        <w:t>修复治理</w:t>
      </w:r>
      <w:r>
        <w:rPr>
          <w:rFonts w:ascii="宋体" w:hAnsi="宋体" w:eastAsia="宋体" w:cs="宋体"/>
          <w:spacing w:val="1"/>
          <w:sz w:val="28"/>
          <w:szCs w:val="28"/>
          <w:lang w:eastAsia="zh-CN"/>
        </w:rPr>
        <w:t>期，</w:t>
      </w:r>
      <w:r>
        <w:rPr>
          <w:rFonts w:ascii="宋体" w:hAnsi="宋体" w:eastAsia="宋体" w:cs="宋体"/>
          <w:spacing w:val="2"/>
          <w:sz w:val="28"/>
          <w:szCs w:val="28"/>
          <w:lang w:eastAsia="zh-CN"/>
        </w:rPr>
        <w:t>采矿工作结束，对生产中未治理的问题全</w:t>
      </w:r>
      <w:r>
        <w:rPr>
          <w:rFonts w:ascii="宋体" w:hAnsi="宋体" w:eastAsia="宋体" w:cs="宋体"/>
          <w:spacing w:val="1"/>
          <w:sz w:val="28"/>
          <w:szCs w:val="28"/>
          <w:lang w:eastAsia="zh-CN"/>
        </w:rPr>
        <w:t>面治理。对各单元场</w:t>
      </w:r>
      <w:r>
        <w:rPr>
          <w:rFonts w:ascii="宋体" w:hAnsi="宋体" w:eastAsia="宋体" w:cs="宋体"/>
          <w:spacing w:val="2"/>
          <w:sz w:val="28"/>
          <w:szCs w:val="28"/>
          <w:lang w:eastAsia="zh-CN"/>
        </w:rPr>
        <w:t>地进行平整，</w:t>
      </w:r>
      <w:r>
        <w:rPr>
          <w:rFonts w:hint="eastAsia" w:ascii="宋体" w:hAnsi="宋体" w:eastAsia="宋体" w:cs="宋体"/>
          <w:spacing w:val="2"/>
          <w:sz w:val="28"/>
          <w:szCs w:val="28"/>
          <w:lang w:eastAsia="zh-CN"/>
        </w:rPr>
        <w:t>修复</w:t>
      </w:r>
      <w:r>
        <w:rPr>
          <w:rFonts w:ascii="宋体" w:hAnsi="宋体" w:eastAsia="宋体" w:cs="宋体"/>
          <w:spacing w:val="2"/>
          <w:sz w:val="28"/>
          <w:szCs w:val="28"/>
          <w:lang w:eastAsia="zh-CN"/>
        </w:rPr>
        <w:t>后进行监测，最后竣工验收</w:t>
      </w:r>
      <w:r>
        <w:rPr>
          <w:rFonts w:ascii="宋体" w:hAnsi="宋体" w:eastAsia="宋体" w:cs="宋体"/>
          <w:spacing w:val="1"/>
          <w:sz w:val="28"/>
          <w:szCs w:val="28"/>
          <w:lang w:eastAsia="zh-CN"/>
        </w:rPr>
        <w:t>。矿山生态修复工作</w:t>
      </w:r>
      <w:r>
        <w:rPr>
          <w:rFonts w:ascii="宋体" w:hAnsi="宋体" w:eastAsia="宋体" w:cs="宋体"/>
          <w:spacing w:val="-1"/>
          <w:sz w:val="28"/>
          <w:szCs w:val="28"/>
          <w:lang w:eastAsia="zh-CN"/>
        </w:rPr>
        <w:t>部署见表</w:t>
      </w:r>
      <w:r>
        <w:rPr>
          <w:rFonts w:hint="eastAsia" w:ascii="宋体" w:hAnsi="宋体" w:eastAsia="宋体" w:cs="宋体"/>
          <w:spacing w:val="-1"/>
          <w:sz w:val="28"/>
          <w:szCs w:val="28"/>
          <w:lang w:eastAsia="zh-CN"/>
        </w:rPr>
        <w:t>3-19</w:t>
      </w:r>
      <w:r>
        <w:rPr>
          <w:rFonts w:ascii="宋体" w:hAnsi="宋体" w:eastAsia="宋体" w:cs="宋体"/>
          <w:spacing w:val="-1"/>
          <w:sz w:val="28"/>
          <w:szCs w:val="28"/>
          <w:lang w:eastAsia="zh-CN"/>
        </w:rPr>
        <w:t>。</w:t>
      </w:r>
    </w:p>
    <w:p w14:paraId="2E90B914">
      <w:pPr>
        <w:jc w:val="center"/>
        <w:rPr>
          <w:rFonts w:hint="eastAsia" w:ascii="宋体" w:hAnsi="宋体" w:eastAsia="宋体" w:cs="宋体"/>
          <w:b/>
          <w:bCs/>
          <w:lang w:eastAsia="zh-CN"/>
        </w:rPr>
      </w:pPr>
      <w:r>
        <w:rPr>
          <w:rFonts w:hint="eastAsia" w:ascii="宋体" w:hAnsi="宋体" w:eastAsia="宋体" w:cs="宋体"/>
          <w:b/>
          <w:bCs/>
          <w:lang w:eastAsia="zh-CN"/>
        </w:rPr>
        <w:t>表3-19</w:t>
      </w:r>
      <w:r>
        <w:rPr>
          <w:rFonts w:hint="eastAsia" w:ascii="宋体" w:hAnsi="宋体" w:eastAsia="宋体" w:cs="宋体"/>
          <w:b/>
          <w:bCs/>
          <w:lang w:val="en-US" w:eastAsia="zh-CN"/>
        </w:rPr>
        <w:t xml:space="preserve"> </w:t>
      </w:r>
      <w:r>
        <w:rPr>
          <w:rFonts w:hint="eastAsia" w:ascii="宋体" w:hAnsi="宋体" w:eastAsia="宋体" w:cs="宋体"/>
          <w:b/>
          <w:bCs/>
          <w:lang w:eastAsia="zh-CN"/>
        </w:rPr>
        <w:t>矿山生态修复工程施工进度计划表</w:t>
      </w:r>
    </w:p>
    <w:tbl>
      <w:tblPr>
        <w:tblStyle w:val="22"/>
        <w:tblW w:w="83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21"/>
        <w:gridCol w:w="3045"/>
        <w:gridCol w:w="3285"/>
      </w:tblGrid>
      <w:tr w14:paraId="70A789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6" w:hRule="atLeast"/>
        </w:trPr>
        <w:tc>
          <w:tcPr>
            <w:tcW w:w="2021" w:type="dxa"/>
            <w:vMerge w:val="restart"/>
            <w:tcBorders>
              <w:bottom w:val="nil"/>
            </w:tcBorders>
          </w:tcPr>
          <w:p w14:paraId="542FA42C">
            <w:pPr>
              <w:spacing w:line="270" w:lineRule="auto"/>
              <w:rPr>
                <w:lang w:eastAsia="zh-CN"/>
              </w:rPr>
            </w:pPr>
          </w:p>
          <w:p w14:paraId="7ACA39AC">
            <w:pPr>
              <w:spacing w:line="270" w:lineRule="auto"/>
              <w:rPr>
                <w:lang w:eastAsia="zh-CN"/>
              </w:rPr>
            </w:pPr>
          </w:p>
          <w:p w14:paraId="0961B7FA">
            <w:pPr>
              <w:pStyle w:val="23"/>
              <w:spacing w:before="58" w:line="220" w:lineRule="auto"/>
              <w:ind w:left="478"/>
              <w:rPr>
                <w:rFonts w:hint="eastAsia"/>
                <w:sz w:val="18"/>
                <w:szCs w:val="18"/>
              </w:rPr>
            </w:pPr>
            <w:r>
              <w:rPr>
                <w:spacing w:val="3"/>
                <w:sz w:val="18"/>
                <w:szCs w:val="18"/>
              </w:rPr>
              <w:t>工程名称</w:t>
            </w:r>
          </w:p>
        </w:tc>
        <w:tc>
          <w:tcPr>
            <w:tcW w:w="6330" w:type="dxa"/>
            <w:gridSpan w:val="2"/>
          </w:tcPr>
          <w:p w14:paraId="38EF2437">
            <w:pPr>
              <w:pStyle w:val="23"/>
              <w:spacing w:before="122" w:line="219" w:lineRule="auto"/>
              <w:ind w:left="3559"/>
              <w:rPr>
                <w:rFonts w:hint="eastAsia"/>
                <w:sz w:val="18"/>
                <w:szCs w:val="18"/>
              </w:rPr>
            </w:pPr>
            <w:r>
              <w:rPr>
                <w:spacing w:val="-4"/>
                <w:sz w:val="18"/>
                <w:szCs w:val="18"/>
              </w:rPr>
              <w:t>年份</w:t>
            </w:r>
          </w:p>
        </w:tc>
      </w:tr>
      <w:tr w14:paraId="61FBCA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2" w:hRule="atLeast"/>
        </w:trPr>
        <w:tc>
          <w:tcPr>
            <w:tcW w:w="2021" w:type="dxa"/>
            <w:vMerge w:val="continue"/>
            <w:tcBorders>
              <w:top w:val="nil"/>
              <w:bottom w:val="single" w:color="auto" w:sz="4" w:space="0"/>
            </w:tcBorders>
          </w:tcPr>
          <w:p w14:paraId="3E935D44"/>
        </w:tc>
        <w:tc>
          <w:tcPr>
            <w:tcW w:w="3045" w:type="dxa"/>
            <w:tcBorders>
              <w:bottom w:val="single" w:color="auto" w:sz="4" w:space="0"/>
            </w:tcBorders>
            <w:vAlign w:val="center"/>
          </w:tcPr>
          <w:p w14:paraId="6D6CD832">
            <w:pPr>
              <w:pStyle w:val="23"/>
              <w:adjustRightInd/>
              <w:snapToGrid/>
              <w:jc w:val="center"/>
              <w:rPr>
                <w:rFonts w:hint="eastAsia"/>
                <w:sz w:val="18"/>
                <w:szCs w:val="18"/>
              </w:rPr>
            </w:pPr>
            <w:r>
              <w:rPr>
                <w:sz w:val="18"/>
                <w:szCs w:val="18"/>
              </w:rPr>
              <w:t>近期（2025.1</w:t>
            </w:r>
            <w:r>
              <w:rPr>
                <w:rFonts w:ascii="仿宋" w:hAnsi="仿宋" w:eastAsia="仿宋" w:cs="仿宋"/>
                <w:sz w:val="18"/>
                <w:szCs w:val="18"/>
              </w:rPr>
              <w:t>2-</w:t>
            </w:r>
            <w:r>
              <w:rPr>
                <w:sz w:val="18"/>
                <w:szCs w:val="18"/>
              </w:rPr>
              <w:t>20</w:t>
            </w:r>
            <w:r>
              <w:rPr>
                <w:rFonts w:hint="eastAsia"/>
                <w:sz w:val="18"/>
                <w:szCs w:val="18"/>
                <w:lang w:val="en-US" w:eastAsia="zh-CN"/>
              </w:rPr>
              <w:t>26</w:t>
            </w:r>
            <w:r>
              <w:rPr>
                <w:sz w:val="18"/>
                <w:szCs w:val="18"/>
              </w:rPr>
              <w:t>.1</w:t>
            </w:r>
            <w:r>
              <w:rPr>
                <w:rFonts w:ascii="仿宋" w:hAnsi="仿宋" w:eastAsia="仿宋" w:cs="仿宋"/>
                <w:sz w:val="18"/>
                <w:szCs w:val="18"/>
              </w:rPr>
              <w:t>2</w:t>
            </w:r>
            <w:r>
              <w:rPr>
                <w:sz w:val="18"/>
                <w:szCs w:val="18"/>
              </w:rPr>
              <w:t>）</w:t>
            </w:r>
          </w:p>
        </w:tc>
        <w:tc>
          <w:tcPr>
            <w:tcW w:w="3285" w:type="dxa"/>
            <w:vAlign w:val="center"/>
          </w:tcPr>
          <w:p w14:paraId="6BCE0721">
            <w:pPr>
              <w:pStyle w:val="23"/>
              <w:adjustRightInd/>
              <w:snapToGrid/>
              <w:jc w:val="center"/>
              <w:rPr>
                <w:spacing w:val="3"/>
                <w:sz w:val="18"/>
                <w:szCs w:val="18"/>
              </w:rPr>
            </w:pPr>
            <w:r>
              <w:rPr>
                <w:rFonts w:hint="eastAsia"/>
                <w:spacing w:val="3"/>
                <w:sz w:val="18"/>
                <w:szCs w:val="18"/>
                <w:lang w:eastAsia="zh-CN"/>
              </w:rPr>
              <w:t>中</w:t>
            </w:r>
            <w:r>
              <w:rPr>
                <w:spacing w:val="3"/>
                <w:sz w:val="18"/>
                <w:szCs w:val="18"/>
              </w:rPr>
              <w:t>期（20</w:t>
            </w:r>
            <w:r>
              <w:rPr>
                <w:rFonts w:hint="eastAsia"/>
                <w:spacing w:val="3"/>
                <w:sz w:val="18"/>
                <w:szCs w:val="18"/>
                <w:lang w:val="en-US" w:eastAsia="zh-CN"/>
              </w:rPr>
              <w:t>26</w:t>
            </w:r>
            <w:r>
              <w:rPr>
                <w:rFonts w:ascii="仿宋" w:hAnsi="仿宋" w:eastAsia="仿宋" w:cs="仿宋"/>
                <w:spacing w:val="3"/>
                <w:sz w:val="18"/>
                <w:szCs w:val="18"/>
              </w:rPr>
              <w:t>.</w:t>
            </w:r>
            <w:r>
              <w:rPr>
                <w:rFonts w:hint="eastAsia" w:ascii="仿宋" w:hAnsi="仿宋" w:eastAsia="仿宋" w:cs="仿宋"/>
                <w:spacing w:val="3"/>
                <w:sz w:val="18"/>
                <w:szCs w:val="18"/>
                <w:lang w:val="en-US" w:eastAsia="zh-CN"/>
              </w:rPr>
              <w:t>12</w:t>
            </w:r>
            <w:r>
              <w:rPr>
                <w:rFonts w:ascii="仿宋" w:hAnsi="仿宋" w:eastAsia="仿宋" w:cs="仿宋"/>
                <w:spacing w:val="3"/>
                <w:sz w:val="18"/>
                <w:szCs w:val="18"/>
              </w:rPr>
              <w:t>-</w:t>
            </w:r>
            <w:r>
              <w:rPr>
                <w:spacing w:val="3"/>
                <w:sz w:val="18"/>
                <w:szCs w:val="18"/>
              </w:rPr>
              <w:t>20</w:t>
            </w:r>
            <w:r>
              <w:rPr>
                <w:rFonts w:hint="eastAsia"/>
                <w:spacing w:val="3"/>
                <w:sz w:val="18"/>
                <w:szCs w:val="18"/>
                <w:lang w:val="en-US" w:eastAsia="zh-CN"/>
              </w:rPr>
              <w:t>27</w:t>
            </w:r>
            <w:r>
              <w:rPr>
                <w:spacing w:val="3"/>
                <w:sz w:val="18"/>
                <w:szCs w:val="18"/>
              </w:rPr>
              <w:t>.</w:t>
            </w:r>
            <w:r>
              <w:rPr>
                <w:rFonts w:hint="eastAsia"/>
                <w:spacing w:val="3"/>
                <w:sz w:val="18"/>
                <w:szCs w:val="18"/>
                <w:lang w:val="en-US" w:eastAsia="zh-CN"/>
              </w:rPr>
              <w:t>6</w:t>
            </w:r>
            <w:r>
              <w:rPr>
                <w:spacing w:val="3"/>
                <w:sz w:val="18"/>
                <w:szCs w:val="18"/>
              </w:rPr>
              <w:t>）</w:t>
            </w:r>
          </w:p>
        </w:tc>
      </w:tr>
      <w:tr w14:paraId="467F2A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021" w:type="dxa"/>
            <w:tcBorders>
              <w:top w:val="single" w:color="auto" w:sz="4" w:space="0"/>
            </w:tcBorders>
            <w:vAlign w:val="center"/>
          </w:tcPr>
          <w:p w14:paraId="33FCDD14">
            <w:pPr>
              <w:keepNext w:val="0"/>
              <w:keepLines w:val="0"/>
              <w:pageBreakBefore w:val="0"/>
              <w:widowControl w:val="0"/>
              <w:kinsoku w:val="0"/>
              <w:wordWrap/>
              <w:overflowPunct/>
              <w:topLinePunct w:val="0"/>
              <w:autoSpaceDE w:val="0"/>
              <w:autoSpaceDN w:val="0"/>
              <w:bidi w:val="0"/>
              <w:adjustRightInd/>
              <w:snapToGrid/>
              <w:spacing w:line="240" w:lineRule="auto"/>
              <w:ind w:left="0"/>
              <w:jc w:val="center"/>
              <w:textAlignment w:val="baseline"/>
              <w:rPr>
                <w:rFonts w:hint="eastAsia" w:eastAsia="宋体"/>
                <w:lang w:eastAsia="zh-CN"/>
              </w:rPr>
            </w:pPr>
            <w:r>
              <w:rPr>
                <w:rFonts w:hint="eastAsia" w:eastAsia="宋体"/>
                <w:lang w:eastAsia="zh-CN"/>
              </w:rPr>
              <w:t>风成沙及坡积物清理</w:t>
            </w:r>
          </w:p>
        </w:tc>
        <w:tc>
          <w:tcPr>
            <w:tcW w:w="3045" w:type="dxa"/>
            <w:tcBorders>
              <w:top w:val="single" w:color="auto" w:sz="4" w:space="0"/>
            </w:tcBorders>
          </w:tcPr>
          <w:p w14:paraId="6CC57F38">
            <w:pPr>
              <w:spacing w:line="59" w:lineRule="exact"/>
              <w:rPr>
                <w:sz w:val="5"/>
              </w:rPr>
            </w:pPr>
            <w:r>
              <w:rPr>
                <w:rFonts w:hint="eastAsia" w:ascii="宋体" w:hAnsi="宋体" w:eastAsia="宋体" w:cs="宋体"/>
                <w:b/>
                <w:bCs/>
              </w:rPr>
              <w:drawing>
                <wp:anchor distT="0" distB="0" distL="0" distR="0" simplePos="0" relativeHeight="251672576" behindDoc="0" locked="0" layoutInCell="1" allowOverlap="1">
                  <wp:simplePos x="0" y="0"/>
                  <wp:positionH relativeFrom="column">
                    <wp:posOffset>635</wp:posOffset>
                  </wp:positionH>
                  <wp:positionV relativeFrom="paragraph">
                    <wp:posOffset>101600</wp:posOffset>
                  </wp:positionV>
                  <wp:extent cx="4030345" cy="76200"/>
                  <wp:effectExtent l="0" t="0" r="8255" b="0"/>
                  <wp:wrapNone/>
                  <wp:docPr id="19" name="IM 68"/>
                  <wp:cNvGraphicFramePr/>
                  <a:graphic xmlns:a="http://schemas.openxmlformats.org/drawingml/2006/main">
                    <a:graphicData uri="http://schemas.openxmlformats.org/drawingml/2006/picture">
                      <pic:pic xmlns:pic="http://schemas.openxmlformats.org/drawingml/2006/picture">
                        <pic:nvPicPr>
                          <pic:cNvPr id="19" name="IM 68"/>
                          <pic:cNvPicPr/>
                        </pic:nvPicPr>
                        <pic:blipFill>
                          <a:blip r:embed="rId23"/>
                          <a:stretch>
                            <a:fillRect/>
                          </a:stretch>
                        </pic:blipFill>
                        <pic:spPr>
                          <a:xfrm>
                            <a:off x="0" y="0"/>
                            <a:ext cx="4030345" cy="76200"/>
                          </a:xfrm>
                          <a:prstGeom prst="rect">
                            <a:avLst/>
                          </a:prstGeom>
                        </pic:spPr>
                      </pic:pic>
                    </a:graphicData>
                  </a:graphic>
                </wp:anchor>
              </w:drawing>
            </w:r>
          </w:p>
        </w:tc>
        <w:tc>
          <w:tcPr>
            <w:tcW w:w="3285" w:type="dxa"/>
          </w:tcPr>
          <w:p w14:paraId="51E24F90"/>
        </w:tc>
      </w:tr>
      <w:tr w14:paraId="24EE9F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021" w:type="dxa"/>
            <w:vAlign w:val="center"/>
          </w:tcPr>
          <w:p w14:paraId="3D00ED7A">
            <w:pPr>
              <w:pStyle w:val="23"/>
              <w:keepNext w:val="0"/>
              <w:keepLines w:val="0"/>
              <w:pageBreakBefore w:val="0"/>
              <w:widowControl w:val="0"/>
              <w:kinsoku w:val="0"/>
              <w:wordWrap/>
              <w:overflowPunct/>
              <w:topLinePunct w:val="0"/>
              <w:autoSpaceDE w:val="0"/>
              <w:autoSpaceDN w:val="0"/>
              <w:bidi w:val="0"/>
              <w:adjustRightInd/>
              <w:snapToGrid/>
              <w:spacing w:line="240" w:lineRule="auto"/>
              <w:ind w:left="0"/>
              <w:jc w:val="center"/>
              <w:textAlignment w:val="baseline"/>
              <w:rPr>
                <w:rFonts w:hint="eastAsia"/>
                <w:sz w:val="18"/>
                <w:szCs w:val="18"/>
              </w:rPr>
            </w:pPr>
            <w:r>
              <w:rPr>
                <w:spacing w:val="5"/>
                <w:sz w:val="18"/>
                <w:szCs w:val="18"/>
              </w:rPr>
              <w:t>采场截排水沟</w:t>
            </w:r>
          </w:p>
        </w:tc>
        <w:tc>
          <w:tcPr>
            <w:tcW w:w="3045" w:type="dxa"/>
          </w:tcPr>
          <w:p w14:paraId="6135C369">
            <w:r>
              <w:rPr>
                <w:rFonts w:hint="eastAsia" w:ascii="宋体" w:hAnsi="宋体" w:eastAsia="宋体" w:cs="宋体"/>
                <w:b/>
                <w:bCs/>
              </w:rPr>
              <mc:AlternateContent>
                <mc:Choice Requires="wps">
                  <w:drawing>
                    <wp:anchor distT="0" distB="0" distL="114300" distR="114300" simplePos="0" relativeHeight="251669504" behindDoc="0" locked="0" layoutInCell="1" allowOverlap="1">
                      <wp:simplePos x="0" y="0"/>
                      <wp:positionH relativeFrom="column">
                        <wp:posOffset>7620</wp:posOffset>
                      </wp:positionH>
                      <wp:positionV relativeFrom="paragraph">
                        <wp:posOffset>120650</wp:posOffset>
                      </wp:positionV>
                      <wp:extent cx="340360" cy="63500"/>
                      <wp:effectExtent l="0" t="0" r="2540" b="12700"/>
                      <wp:wrapNone/>
                      <wp:docPr id="20" name="矩形 20"/>
                      <wp:cNvGraphicFramePr/>
                      <a:graphic xmlns:a="http://schemas.openxmlformats.org/drawingml/2006/main">
                        <a:graphicData uri="http://schemas.microsoft.com/office/word/2010/wordprocessingShape">
                          <wps:wsp>
                            <wps:cNvSpPr/>
                            <wps:spPr>
                              <a:xfrm>
                                <a:off x="0" y="0"/>
                                <a:ext cx="340360" cy="63500"/>
                              </a:xfrm>
                              <a:prstGeom prst="rect">
                                <a:avLst/>
                              </a:prstGeom>
                              <a:solidFill>
                                <a:srgbClr val="000000"/>
                              </a:solidFill>
                              <a:ln>
                                <a:noFill/>
                              </a:ln>
                            </wps:spPr>
                            <wps:bodyPr upright="1"/>
                          </wps:wsp>
                        </a:graphicData>
                      </a:graphic>
                    </wp:anchor>
                  </w:drawing>
                </mc:Choice>
                <mc:Fallback>
                  <w:pict>
                    <v:rect id="_x0000_s1026" o:spid="_x0000_s1026" o:spt="1" style="position:absolute;left:0pt;margin-left:0.6pt;margin-top:9.5pt;height:5pt;width:26.8pt;z-index:251669504;mso-width-relative:page;mso-height-relative:page;" fillcolor="#000000" filled="t" stroked="f" coordsize="21600,21600" o:gfxdata="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MAM/SHUAAAA&#10;BgEAAA8AAAAAAAAAAQAgAAAAIgAAAGRycy9kb3ducmV2LnhtbFBLAQIUABQAAAAIAIdO4kAH/X4T&#10;rwEAAF8DAAAOAAAAAAAAAAEAIAAAACMBAABkcnMvZTJvRG9jLnhtbFBLBQYAAAAABgAGAFkBAABE&#10;BQAAAAA=&#10;">
                      <v:fill on="t" focussize="0,0"/>
                      <v:stroke on="f"/>
                      <v:imagedata o:title=""/>
                      <o:lock v:ext="edit" aspectratio="f"/>
                    </v:rect>
                  </w:pict>
                </mc:Fallback>
              </mc:AlternateContent>
            </w:r>
          </w:p>
        </w:tc>
        <w:tc>
          <w:tcPr>
            <w:tcW w:w="3285" w:type="dxa"/>
          </w:tcPr>
          <w:p w14:paraId="2B3542B7"/>
        </w:tc>
      </w:tr>
      <w:tr w14:paraId="53E296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021" w:type="dxa"/>
            <w:vAlign w:val="center"/>
          </w:tcPr>
          <w:p w14:paraId="1A8EFC58">
            <w:pPr>
              <w:pStyle w:val="23"/>
              <w:keepNext w:val="0"/>
              <w:keepLines w:val="0"/>
              <w:pageBreakBefore w:val="0"/>
              <w:widowControl w:val="0"/>
              <w:kinsoku w:val="0"/>
              <w:wordWrap/>
              <w:overflowPunct/>
              <w:topLinePunct w:val="0"/>
              <w:autoSpaceDE w:val="0"/>
              <w:autoSpaceDN w:val="0"/>
              <w:bidi w:val="0"/>
              <w:adjustRightInd/>
              <w:snapToGrid/>
              <w:spacing w:line="240" w:lineRule="auto"/>
              <w:ind w:left="0"/>
              <w:jc w:val="center"/>
              <w:textAlignment w:val="baseline"/>
              <w:rPr>
                <w:rFonts w:hint="eastAsia"/>
                <w:sz w:val="18"/>
                <w:szCs w:val="18"/>
              </w:rPr>
            </w:pPr>
            <w:r>
              <w:rPr>
                <w:spacing w:val="4"/>
                <w:sz w:val="18"/>
                <w:szCs w:val="18"/>
              </w:rPr>
              <w:t>平整工程</w:t>
            </w:r>
          </w:p>
        </w:tc>
        <w:tc>
          <w:tcPr>
            <w:tcW w:w="3045" w:type="dxa"/>
          </w:tcPr>
          <w:p w14:paraId="16F4C998">
            <w:r>
              <w:rPr>
                <w:rFonts w:hint="eastAsia" w:ascii="宋体" w:hAnsi="宋体" w:eastAsia="宋体" w:cs="宋体"/>
                <w:b/>
                <w:bCs/>
              </w:rPr>
              <w:drawing>
                <wp:anchor distT="0" distB="0" distL="0" distR="0" simplePos="0" relativeHeight="251671552" behindDoc="0" locked="0" layoutInCell="1" allowOverlap="1">
                  <wp:simplePos x="0" y="0"/>
                  <wp:positionH relativeFrom="column">
                    <wp:posOffset>635</wp:posOffset>
                  </wp:positionH>
                  <wp:positionV relativeFrom="paragraph">
                    <wp:posOffset>95885</wp:posOffset>
                  </wp:positionV>
                  <wp:extent cx="4041140" cy="76200"/>
                  <wp:effectExtent l="0" t="0" r="16510" b="0"/>
                  <wp:wrapNone/>
                  <wp:docPr id="21" name="IM 68"/>
                  <wp:cNvGraphicFramePr/>
                  <a:graphic xmlns:a="http://schemas.openxmlformats.org/drawingml/2006/main">
                    <a:graphicData uri="http://schemas.openxmlformats.org/drawingml/2006/picture">
                      <pic:pic xmlns:pic="http://schemas.openxmlformats.org/drawingml/2006/picture">
                        <pic:nvPicPr>
                          <pic:cNvPr id="21" name="IM 68"/>
                          <pic:cNvPicPr/>
                        </pic:nvPicPr>
                        <pic:blipFill>
                          <a:blip r:embed="rId23"/>
                          <a:stretch>
                            <a:fillRect/>
                          </a:stretch>
                        </pic:blipFill>
                        <pic:spPr>
                          <a:xfrm>
                            <a:off x="0" y="0"/>
                            <a:ext cx="4041140" cy="76200"/>
                          </a:xfrm>
                          <a:prstGeom prst="rect">
                            <a:avLst/>
                          </a:prstGeom>
                        </pic:spPr>
                      </pic:pic>
                    </a:graphicData>
                  </a:graphic>
                </wp:anchor>
              </w:drawing>
            </w:r>
          </w:p>
        </w:tc>
        <w:tc>
          <w:tcPr>
            <w:tcW w:w="3285" w:type="dxa"/>
          </w:tcPr>
          <w:p w14:paraId="7A38889B"/>
        </w:tc>
      </w:tr>
      <w:tr w14:paraId="5F8C50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2021" w:type="dxa"/>
            <w:vAlign w:val="center"/>
          </w:tcPr>
          <w:p w14:paraId="1103AA00">
            <w:pPr>
              <w:pStyle w:val="23"/>
              <w:keepNext w:val="0"/>
              <w:keepLines w:val="0"/>
              <w:pageBreakBefore w:val="0"/>
              <w:widowControl w:val="0"/>
              <w:kinsoku w:val="0"/>
              <w:wordWrap/>
              <w:overflowPunct/>
              <w:topLinePunct w:val="0"/>
              <w:autoSpaceDE w:val="0"/>
              <w:autoSpaceDN w:val="0"/>
              <w:bidi w:val="0"/>
              <w:adjustRightInd/>
              <w:snapToGrid/>
              <w:spacing w:line="240" w:lineRule="auto"/>
              <w:ind w:left="0"/>
              <w:jc w:val="center"/>
              <w:textAlignment w:val="baseline"/>
              <w:rPr>
                <w:rFonts w:hint="eastAsia"/>
                <w:sz w:val="18"/>
                <w:szCs w:val="18"/>
              </w:rPr>
            </w:pPr>
            <w:r>
              <w:rPr>
                <w:spacing w:val="5"/>
                <w:sz w:val="18"/>
                <w:szCs w:val="18"/>
              </w:rPr>
              <w:t>矿山监测</w:t>
            </w:r>
          </w:p>
        </w:tc>
        <w:tc>
          <w:tcPr>
            <w:tcW w:w="3045" w:type="dxa"/>
            <w:vAlign w:val="center"/>
          </w:tcPr>
          <w:p w14:paraId="279CB672">
            <w:pPr>
              <w:jc w:val="center"/>
            </w:pPr>
            <w:r>
              <w:rPr>
                <w:rFonts w:hint="eastAsia" w:ascii="宋体" w:hAnsi="宋体" w:eastAsia="宋体" w:cs="宋体"/>
                <w:b/>
                <w:bCs/>
              </w:rPr>
              <w:drawing>
                <wp:anchor distT="0" distB="0" distL="0" distR="0" simplePos="0" relativeHeight="251670528" behindDoc="0" locked="0" layoutInCell="1" allowOverlap="1">
                  <wp:simplePos x="0" y="0"/>
                  <wp:positionH relativeFrom="column">
                    <wp:posOffset>635</wp:posOffset>
                  </wp:positionH>
                  <wp:positionV relativeFrom="paragraph">
                    <wp:posOffset>41910</wp:posOffset>
                  </wp:positionV>
                  <wp:extent cx="4029075" cy="95250"/>
                  <wp:effectExtent l="0" t="0" r="9525" b="0"/>
                  <wp:wrapNone/>
                  <wp:docPr id="23" name="IM 66"/>
                  <wp:cNvGraphicFramePr/>
                  <a:graphic xmlns:a="http://schemas.openxmlformats.org/drawingml/2006/main">
                    <a:graphicData uri="http://schemas.openxmlformats.org/drawingml/2006/picture">
                      <pic:pic xmlns:pic="http://schemas.openxmlformats.org/drawingml/2006/picture">
                        <pic:nvPicPr>
                          <pic:cNvPr id="23" name="IM 66"/>
                          <pic:cNvPicPr/>
                        </pic:nvPicPr>
                        <pic:blipFill>
                          <a:blip r:embed="rId24"/>
                          <a:stretch>
                            <a:fillRect/>
                          </a:stretch>
                        </pic:blipFill>
                        <pic:spPr>
                          <a:xfrm>
                            <a:off x="0" y="0"/>
                            <a:ext cx="4029075" cy="95250"/>
                          </a:xfrm>
                          <a:prstGeom prst="rect">
                            <a:avLst/>
                          </a:prstGeom>
                        </pic:spPr>
                      </pic:pic>
                    </a:graphicData>
                  </a:graphic>
                </wp:anchor>
              </w:drawing>
            </w:r>
          </w:p>
        </w:tc>
        <w:tc>
          <w:tcPr>
            <w:tcW w:w="3285" w:type="dxa"/>
            <w:vAlign w:val="center"/>
          </w:tcPr>
          <w:p w14:paraId="03EF0278">
            <w:pPr>
              <w:jc w:val="center"/>
            </w:pPr>
          </w:p>
        </w:tc>
      </w:tr>
    </w:tbl>
    <w:p w14:paraId="6C24612A">
      <w:pPr>
        <w:rPr>
          <w:lang w:eastAsia="zh-CN"/>
        </w:rPr>
      </w:pPr>
    </w:p>
    <w:p w14:paraId="69FCF066">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291" w:name="bookmark206"/>
      <w:bookmarkEnd w:id="291"/>
      <w:bookmarkStart w:id="292" w:name="bookmark207"/>
      <w:bookmarkEnd w:id="292"/>
      <w:bookmarkStart w:id="293" w:name="_Toc1825"/>
      <w:bookmarkStart w:id="294" w:name="_Toc18517"/>
      <w:r>
        <w:rPr>
          <w:rFonts w:hint="eastAsia" w:ascii="宋体" w:hAnsi="宋体" w:eastAsia="宋体" w:cs="宋体"/>
          <w:sz w:val="28"/>
          <w:szCs w:val="28"/>
          <w:lang w:eastAsia="zh-CN"/>
        </w:rPr>
        <w:t>（二）近期工作任务与经费进度安排</w:t>
      </w:r>
      <w:bookmarkEnd w:id="293"/>
      <w:bookmarkEnd w:id="294"/>
    </w:p>
    <w:p w14:paraId="279F731D">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1、近期工作任务</w:t>
      </w:r>
    </w:p>
    <w:p w14:paraId="2B0FF541">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本方案按照工作计划安排与矿山地质环境污染和损毁土地时序相一致原则，可将矿区生态修复工作划分以下几个阶段：</w:t>
      </w:r>
    </w:p>
    <w:p w14:paraId="1E4090AA">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⑴2025年12月至2026年12月：道路修建截排水沟，已开挖形成的坡面清理风成沙及坡积物，土地资源与地形地貌景观监测。</w:t>
      </w:r>
    </w:p>
    <w:p w14:paraId="2DFA7944">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⑵2026年12月至2027年</w:t>
      </w:r>
      <w:r>
        <w:rPr>
          <w:rFonts w:hint="eastAsia" w:ascii="宋体" w:hAnsi="宋体" w:eastAsia="宋体" w:cs="宋体"/>
          <w:spacing w:val="4"/>
          <w:sz w:val="28"/>
          <w:szCs w:val="28"/>
          <w:lang w:val="en-US" w:eastAsia="zh-CN"/>
        </w:rPr>
        <w:t>6</w:t>
      </w:r>
      <w:r>
        <w:rPr>
          <w:rFonts w:hint="eastAsia" w:ascii="宋体" w:hAnsi="宋体" w:eastAsia="宋体" w:cs="宋体"/>
          <w:spacing w:val="4"/>
          <w:sz w:val="28"/>
          <w:szCs w:val="28"/>
          <w:lang w:eastAsia="zh-CN"/>
        </w:rPr>
        <w:t>月：采场外围修建截排水沟，已开挖形成的坡面清理风成沙及坡积物，土地资源与地形地貌景观监测。</w:t>
      </w:r>
    </w:p>
    <w:p w14:paraId="786B1A1F">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按时准备修编矿区生态修复方案，为下一阶段的矿山地质环境保护工程实施做好准备。</w:t>
      </w:r>
    </w:p>
    <w:p w14:paraId="3FD61B83">
      <w:pPr>
        <w:spacing w:before="3" w:line="227" w:lineRule="auto"/>
        <w:jc w:val="center"/>
        <w:rPr>
          <w:rFonts w:hint="eastAsia" w:ascii="宋体" w:hAnsi="宋体" w:eastAsia="宋体" w:cs="宋体"/>
          <w:b/>
          <w:bCs/>
          <w:spacing w:val="6"/>
          <w:sz w:val="21"/>
          <w:szCs w:val="21"/>
          <w:lang w:eastAsia="zh-CN"/>
        </w:rPr>
      </w:pPr>
      <w:r>
        <w:rPr>
          <w:rFonts w:hint="eastAsia" w:ascii="宋体" w:hAnsi="宋体" w:eastAsia="宋体" w:cs="宋体"/>
          <w:b/>
          <w:bCs/>
          <w:spacing w:val="6"/>
          <w:sz w:val="21"/>
          <w:szCs w:val="21"/>
          <w:lang w:eastAsia="zh-CN"/>
        </w:rPr>
        <w:t>表6-4  近</w:t>
      </w:r>
      <w:r>
        <w:rPr>
          <w:rFonts w:hint="eastAsia" w:ascii="宋体" w:hAnsi="宋体" w:eastAsia="宋体" w:cs="宋体"/>
          <w:b/>
          <w:bCs/>
          <w:spacing w:val="6"/>
          <w:sz w:val="21"/>
          <w:szCs w:val="21"/>
          <w:lang w:val="en-US" w:eastAsia="zh-CN"/>
        </w:rPr>
        <w:t>2</w:t>
      </w:r>
      <w:r>
        <w:rPr>
          <w:rFonts w:hint="eastAsia" w:ascii="宋体" w:hAnsi="宋体" w:eastAsia="宋体" w:cs="宋体"/>
          <w:b/>
          <w:bCs/>
          <w:spacing w:val="6"/>
          <w:sz w:val="21"/>
          <w:szCs w:val="21"/>
          <w:lang w:eastAsia="zh-CN"/>
        </w:rPr>
        <w:t>年度工作安排表</w:t>
      </w:r>
    </w:p>
    <w:tbl>
      <w:tblPr>
        <w:tblStyle w:val="22"/>
        <w:tblW w:w="8427"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73"/>
        <w:gridCol w:w="2734"/>
        <w:gridCol w:w="3131"/>
        <w:gridCol w:w="896"/>
        <w:gridCol w:w="893"/>
      </w:tblGrid>
      <w:tr w14:paraId="1E65CE1E">
        <w:tblPrEx>
          <w:tblCellMar>
            <w:top w:w="0" w:type="dxa"/>
            <w:left w:w="0" w:type="dxa"/>
            <w:bottom w:w="0" w:type="dxa"/>
            <w:right w:w="0" w:type="dxa"/>
          </w:tblCellMar>
        </w:tblPrEx>
        <w:trPr>
          <w:trHeight w:val="367" w:hRule="atLeast"/>
        </w:trPr>
        <w:tc>
          <w:tcPr>
            <w:tcW w:w="773" w:type="dxa"/>
            <w:vAlign w:val="center"/>
          </w:tcPr>
          <w:p w14:paraId="13EA3AFF">
            <w:pPr>
              <w:pStyle w:val="23"/>
              <w:widowControl w:val="0"/>
              <w:kinsoku/>
              <w:adjustRightInd/>
              <w:snapToGrid/>
              <w:jc w:val="center"/>
              <w:rPr>
                <w:rFonts w:hint="eastAsia"/>
                <w:sz w:val="21"/>
                <w:szCs w:val="21"/>
              </w:rPr>
            </w:pPr>
            <w:r>
              <w:rPr>
                <w:rFonts w:hint="eastAsia"/>
                <w:spacing w:val="4"/>
                <w:sz w:val="21"/>
                <w:szCs w:val="21"/>
              </w:rPr>
              <w:t>年份</w:t>
            </w:r>
          </w:p>
        </w:tc>
        <w:tc>
          <w:tcPr>
            <w:tcW w:w="2734" w:type="dxa"/>
            <w:vAlign w:val="center"/>
          </w:tcPr>
          <w:p w14:paraId="1BE60A47">
            <w:pPr>
              <w:pStyle w:val="23"/>
              <w:widowControl w:val="0"/>
              <w:kinsoku/>
              <w:adjustRightInd/>
              <w:snapToGrid/>
              <w:jc w:val="center"/>
              <w:rPr>
                <w:rFonts w:hint="eastAsia"/>
                <w:sz w:val="21"/>
                <w:szCs w:val="21"/>
              </w:rPr>
            </w:pPr>
            <w:r>
              <w:rPr>
                <w:rFonts w:hint="eastAsia"/>
                <w:spacing w:val="6"/>
                <w:sz w:val="21"/>
                <w:szCs w:val="21"/>
              </w:rPr>
              <w:t>工程名称</w:t>
            </w:r>
          </w:p>
        </w:tc>
        <w:tc>
          <w:tcPr>
            <w:tcW w:w="3131" w:type="dxa"/>
            <w:vAlign w:val="center"/>
          </w:tcPr>
          <w:p w14:paraId="6324FDC3">
            <w:pPr>
              <w:pStyle w:val="23"/>
              <w:widowControl w:val="0"/>
              <w:kinsoku/>
              <w:adjustRightInd/>
              <w:snapToGrid/>
              <w:jc w:val="center"/>
              <w:rPr>
                <w:rFonts w:hint="eastAsia"/>
                <w:sz w:val="21"/>
                <w:szCs w:val="21"/>
              </w:rPr>
            </w:pPr>
            <w:r>
              <w:rPr>
                <w:rFonts w:hint="eastAsia"/>
                <w:spacing w:val="6"/>
                <w:sz w:val="21"/>
                <w:szCs w:val="21"/>
              </w:rPr>
              <w:t>工程方案</w:t>
            </w:r>
          </w:p>
        </w:tc>
        <w:tc>
          <w:tcPr>
            <w:tcW w:w="896" w:type="dxa"/>
            <w:vAlign w:val="center"/>
          </w:tcPr>
          <w:p w14:paraId="1D2815FB">
            <w:pPr>
              <w:pStyle w:val="23"/>
              <w:widowControl w:val="0"/>
              <w:kinsoku/>
              <w:adjustRightInd/>
              <w:snapToGrid/>
              <w:jc w:val="center"/>
              <w:rPr>
                <w:rFonts w:hint="eastAsia"/>
                <w:sz w:val="21"/>
                <w:szCs w:val="21"/>
              </w:rPr>
            </w:pPr>
            <w:r>
              <w:rPr>
                <w:rFonts w:hint="eastAsia"/>
                <w:spacing w:val="6"/>
                <w:sz w:val="21"/>
                <w:szCs w:val="21"/>
              </w:rPr>
              <w:t>工程量</w:t>
            </w:r>
          </w:p>
        </w:tc>
        <w:tc>
          <w:tcPr>
            <w:tcW w:w="893" w:type="dxa"/>
            <w:vAlign w:val="center"/>
          </w:tcPr>
          <w:p w14:paraId="25E0067E">
            <w:pPr>
              <w:pStyle w:val="23"/>
              <w:widowControl w:val="0"/>
              <w:kinsoku/>
              <w:adjustRightInd/>
              <w:snapToGrid/>
              <w:jc w:val="center"/>
              <w:rPr>
                <w:rFonts w:hint="eastAsia"/>
                <w:sz w:val="21"/>
                <w:szCs w:val="21"/>
              </w:rPr>
            </w:pPr>
            <w:r>
              <w:rPr>
                <w:rFonts w:hint="eastAsia"/>
                <w:spacing w:val="3"/>
                <w:sz w:val="21"/>
                <w:szCs w:val="21"/>
              </w:rPr>
              <w:t>单位</w:t>
            </w:r>
          </w:p>
        </w:tc>
      </w:tr>
      <w:tr w14:paraId="56A6B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9" w:hRule="atLeast"/>
        </w:trPr>
        <w:tc>
          <w:tcPr>
            <w:tcW w:w="773" w:type="dxa"/>
            <w:vMerge w:val="restart"/>
            <w:vAlign w:val="center"/>
          </w:tcPr>
          <w:p w14:paraId="42A10D2B">
            <w:pPr>
              <w:pStyle w:val="23"/>
              <w:widowControl w:val="0"/>
              <w:kinsoku/>
              <w:adjustRightInd/>
              <w:snapToGrid/>
              <w:jc w:val="both"/>
              <w:rPr>
                <w:rFonts w:hint="eastAsia"/>
                <w:sz w:val="21"/>
                <w:szCs w:val="21"/>
              </w:rPr>
            </w:pPr>
            <w:r>
              <w:rPr>
                <w:rFonts w:hint="eastAsia"/>
                <w:spacing w:val="3"/>
                <w:position w:val="1"/>
                <w:sz w:val="21"/>
                <w:szCs w:val="21"/>
              </w:rPr>
              <w:t>2025.12</w:t>
            </w:r>
          </w:p>
          <w:p w14:paraId="37831445">
            <w:pPr>
              <w:pStyle w:val="23"/>
              <w:widowControl w:val="0"/>
              <w:kinsoku/>
              <w:adjustRightInd/>
              <w:snapToGrid/>
              <w:jc w:val="center"/>
              <w:rPr>
                <w:rFonts w:hint="eastAsia"/>
                <w:sz w:val="21"/>
                <w:szCs w:val="21"/>
              </w:rPr>
            </w:pPr>
            <w:r>
              <w:rPr>
                <w:rFonts w:hint="eastAsia"/>
                <w:position w:val="-3"/>
                <w:sz w:val="21"/>
                <w:szCs w:val="21"/>
              </w:rPr>
              <w:t>-</w:t>
            </w:r>
          </w:p>
          <w:p w14:paraId="3AAD7940">
            <w:pPr>
              <w:pStyle w:val="23"/>
              <w:widowControl w:val="0"/>
              <w:kinsoku/>
              <w:adjustRightInd/>
              <w:snapToGrid/>
              <w:jc w:val="center"/>
              <w:rPr>
                <w:rFonts w:hint="eastAsia"/>
                <w:sz w:val="21"/>
                <w:szCs w:val="21"/>
              </w:rPr>
            </w:pPr>
            <w:r>
              <w:rPr>
                <w:rFonts w:hint="eastAsia"/>
                <w:spacing w:val="3"/>
                <w:position w:val="1"/>
                <w:sz w:val="21"/>
                <w:szCs w:val="21"/>
              </w:rPr>
              <w:t>2026.12</w:t>
            </w:r>
          </w:p>
        </w:tc>
        <w:tc>
          <w:tcPr>
            <w:tcW w:w="2734" w:type="dxa"/>
            <w:vAlign w:val="center"/>
          </w:tcPr>
          <w:p w14:paraId="2C117274">
            <w:pPr>
              <w:pStyle w:val="23"/>
              <w:widowControl w:val="0"/>
              <w:kinsoku/>
              <w:adjustRightInd/>
              <w:snapToGrid/>
              <w:jc w:val="center"/>
              <w:rPr>
                <w:rFonts w:hint="eastAsia"/>
                <w:sz w:val="21"/>
                <w:szCs w:val="21"/>
                <w:lang w:eastAsia="zh-CN"/>
              </w:rPr>
            </w:pPr>
            <w:r>
              <w:rPr>
                <w:rFonts w:hint="eastAsia"/>
                <w:spacing w:val="9"/>
                <w:sz w:val="21"/>
                <w:szCs w:val="21"/>
                <w:lang w:eastAsia="zh-CN"/>
              </w:rPr>
              <w:t>采场外围修建截排水沟</w:t>
            </w:r>
          </w:p>
        </w:tc>
        <w:tc>
          <w:tcPr>
            <w:tcW w:w="3131" w:type="dxa"/>
            <w:vAlign w:val="center"/>
          </w:tcPr>
          <w:p w14:paraId="34609CB1">
            <w:pPr>
              <w:pStyle w:val="23"/>
              <w:widowControl w:val="0"/>
              <w:kinsoku/>
              <w:adjustRightInd/>
              <w:snapToGrid/>
              <w:jc w:val="center"/>
              <w:rPr>
                <w:rFonts w:hint="eastAsia"/>
                <w:sz w:val="21"/>
                <w:szCs w:val="21"/>
              </w:rPr>
            </w:pPr>
            <w:r>
              <w:rPr>
                <w:rFonts w:hint="eastAsia"/>
                <w:spacing w:val="7"/>
                <w:sz w:val="21"/>
                <w:szCs w:val="21"/>
              </w:rPr>
              <w:t>机械修筑</w:t>
            </w:r>
          </w:p>
        </w:tc>
        <w:tc>
          <w:tcPr>
            <w:tcW w:w="896" w:type="dxa"/>
            <w:vAlign w:val="center"/>
          </w:tcPr>
          <w:p w14:paraId="7967EFE3">
            <w:pPr>
              <w:pStyle w:val="23"/>
              <w:widowControl w:val="0"/>
              <w:kinsoku/>
              <w:adjustRightInd/>
              <w:snapToGrid/>
              <w:jc w:val="center"/>
              <w:rPr>
                <w:rFonts w:hint="eastAsia"/>
                <w:sz w:val="21"/>
                <w:szCs w:val="21"/>
              </w:rPr>
            </w:pPr>
            <w:r>
              <w:rPr>
                <w:rFonts w:hint="eastAsia"/>
                <w:spacing w:val="6"/>
                <w:sz w:val="21"/>
                <w:szCs w:val="21"/>
              </w:rPr>
              <w:t>纳入基建</w:t>
            </w:r>
            <w:r>
              <w:rPr>
                <w:rFonts w:hint="eastAsia"/>
                <w:spacing w:val="-1"/>
                <w:sz w:val="21"/>
                <w:szCs w:val="21"/>
              </w:rPr>
              <w:t>费用</w:t>
            </w:r>
          </w:p>
        </w:tc>
        <w:tc>
          <w:tcPr>
            <w:tcW w:w="893" w:type="dxa"/>
            <w:vAlign w:val="center"/>
          </w:tcPr>
          <w:p w14:paraId="236AE382">
            <w:pPr>
              <w:widowControl w:val="0"/>
              <w:kinsoku/>
              <w:adjustRightInd/>
              <w:snapToGrid/>
              <w:jc w:val="center"/>
              <w:rPr>
                <w:rFonts w:hint="eastAsia" w:ascii="宋体" w:hAnsi="宋体" w:eastAsia="宋体" w:cs="宋体"/>
              </w:rPr>
            </w:pPr>
          </w:p>
        </w:tc>
      </w:tr>
      <w:tr w14:paraId="4185F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4" w:hRule="atLeast"/>
        </w:trPr>
        <w:tc>
          <w:tcPr>
            <w:tcW w:w="773" w:type="dxa"/>
            <w:vMerge w:val="continue"/>
            <w:vAlign w:val="center"/>
          </w:tcPr>
          <w:p w14:paraId="54FE5BBB">
            <w:pPr>
              <w:widowControl w:val="0"/>
              <w:kinsoku/>
              <w:adjustRightInd/>
              <w:snapToGrid/>
              <w:jc w:val="center"/>
              <w:rPr>
                <w:rFonts w:hint="eastAsia" w:ascii="宋体" w:hAnsi="宋体" w:eastAsia="宋体" w:cs="宋体"/>
              </w:rPr>
            </w:pPr>
          </w:p>
        </w:tc>
        <w:tc>
          <w:tcPr>
            <w:tcW w:w="2734" w:type="dxa"/>
            <w:vAlign w:val="center"/>
          </w:tcPr>
          <w:p w14:paraId="3D11F3DE">
            <w:pPr>
              <w:pStyle w:val="23"/>
              <w:widowControl w:val="0"/>
              <w:kinsoku/>
              <w:adjustRightInd/>
              <w:snapToGrid/>
              <w:jc w:val="center"/>
              <w:rPr>
                <w:rFonts w:hint="eastAsia"/>
                <w:sz w:val="21"/>
                <w:szCs w:val="21"/>
                <w:lang w:eastAsia="zh-CN"/>
              </w:rPr>
            </w:pPr>
            <w:r>
              <w:rPr>
                <w:rFonts w:hint="eastAsia"/>
                <w:spacing w:val="9"/>
                <w:sz w:val="21"/>
                <w:szCs w:val="21"/>
                <w:lang w:eastAsia="zh-CN"/>
              </w:rPr>
              <w:t>土地资源与地形地貌景观监测</w:t>
            </w:r>
          </w:p>
        </w:tc>
        <w:tc>
          <w:tcPr>
            <w:tcW w:w="3131" w:type="dxa"/>
            <w:vAlign w:val="center"/>
          </w:tcPr>
          <w:p w14:paraId="74C56ACE">
            <w:pPr>
              <w:pStyle w:val="23"/>
              <w:widowControl w:val="0"/>
              <w:kinsoku/>
              <w:adjustRightInd/>
              <w:snapToGrid/>
              <w:jc w:val="center"/>
              <w:rPr>
                <w:rFonts w:hint="eastAsia"/>
                <w:sz w:val="21"/>
                <w:szCs w:val="21"/>
                <w:lang w:eastAsia="zh-CN"/>
              </w:rPr>
            </w:pPr>
            <w:r>
              <w:rPr>
                <w:rFonts w:hint="eastAsia"/>
                <w:spacing w:val="8"/>
                <w:sz w:val="21"/>
                <w:szCs w:val="21"/>
                <w:lang w:eastAsia="zh-CN"/>
              </w:rPr>
              <w:t>土地损毁和压占情况设计监测点2处</w:t>
            </w:r>
          </w:p>
        </w:tc>
        <w:tc>
          <w:tcPr>
            <w:tcW w:w="896" w:type="dxa"/>
            <w:vAlign w:val="center"/>
          </w:tcPr>
          <w:p w14:paraId="549F54E6">
            <w:pPr>
              <w:pStyle w:val="23"/>
              <w:widowControl w:val="0"/>
              <w:kinsoku/>
              <w:adjustRightInd/>
              <w:snapToGrid/>
              <w:jc w:val="center"/>
              <w:rPr>
                <w:rFonts w:hint="eastAsia"/>
                <w:sz w:val="21"/>
                <w:szCs w:val="21"/>
                <w:lang w:eastAsia="zh-CN"/>
              </w:rPr>
            </w:pPr>
            <w:r>
              <w:rPr>
                <w:rFonts w:hint="eastAsia"/>
                <w:position w:val="1"/>
                <w:sz w:val="21"/>
                <w:szCs w:val="21"/>
                <w:lang w:eastAsia="zh-CN"/>
              </w:rPr>
              <w:t>4</w:t>
            </w:r>
          </w:p>
        </w:tc>
        <w:tc>
          <w:tcPr>
            <w:tcW w:w="893" w:type="dxa"/>
            <w:vAlign w:val="center"/>
          </w:tcPr>
          <w:p w14:paraId="7F88E354">
            <w:pPr>
              <w:pStyle w:val="23"/>
              <w:widowControl w:val="0"/>
              <w:kinsoku/>
              <w:adjustRightInd/>
              <w:snapToGrid/>
              <w:jc w:val="center"/>
              <w:rPr>
                <w:rFonts w:hint="eastAsia"/>
                <w:sz w:val="21"/>
                <w:szCs w:val="21"/>
              </w:rPr>
            </w:pPr>
            <w:r>
              <w:rPr>
                <w:rFonts w:hint="eastAsia"/>
                <w:spacing w:val="3"/>
                <w:sz w:val="21"/>
                <w:szCs w:val="21"/>
              </w:rPr>
              <w:t>次/点</w:t>
            </w:r>
          </w:p>
        </w:tc>
      </w:tr>
      <w:tr w14:paraId="72E77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773" w:type="dxa"/>
            <w:vMerge w:val="continue"/>
            <w:vAlign w:val="center"/>
          </w:tcPr>
          <w:p w14:paraId="4C5399D6">
            <w:pPr>
              <w:widowControl w:val="0"/>
              <w:kinsoku/>
              <w:adjustRightInd/>
              <w:snapToGrid/>
              <w:jc w:val="center"/>
              <w:rPr>
                <w:rFonts w:hint="eastAsia" w:ascii="宋体" w:hAnsi="宋体" w:eastAsia="宋体" w:cs="宋体"/>
              </w:rPr>
            </w:pPr>
          </w:p>
        </w:tc>
        <w:tc>
          <w:tcPr>
            <w:tcW w:w="2734" w:type="dxa"/>
            <w:vAlign w:val="center"/>
          </w:tcPr>
          <w:p w14:paraId="3E41944A">
            <w:pPr>
              <w:pStyle w:val="23"/>
              <w:widowControl w:val="0"/>
              <w:kinsoku/>
              <w:adjustRightInd/>
              <w:snapToGrid/>
              <w:jc w:val="center"/>
              <w:rPr>
                <w:rFonts w:hint="eastAsia"/>
                <w:sz w:val="21"/>
                <w:szCs w:val="21"/>
              </w:rPr>
            </w:pPr>
            <w:r>
              <w:rPr>
                <w:rFonts w:hint="eastAsia"/>
                <w:spacing w:val="8"/>
                <w:sz w:val="21"/>
                <w:szCs w:val="21"/>
              </w:rPr>
              <w:t>边坡稳定性监测</w:t>
            </w:r>
          </w:p>
        </w:tc>
        <w:tc>
          <w:tcPr>
            <w:tcW w:w="3131" w:type="dxa"/>
            <w:vAlign w:val="center"/>
          </w:tcPr>
          <w:p w14:paraId="74E2A3C9">
            <w:pPr>
              <w:pStyle w:val="23"/>
              <w:widowControl w:val="0"/>
              <w:kinsoku/>
              <w:adjustRightInd/>
              <w:snapToGrid/>
              <w:jc w:val="center"/>
              <w:rPr>
                <w:rFonts w:hint="eastAsia"/>
                <w:sz w:val="21"/>
                <w:szCs w:val="21"/>
              </w:rPr>
            </w:pPr>
            <w:r>
              <w:rPr>
                <w:rFonts w:hint="eastAsia"/>
                <w:spacing w:val="-4"/>
                <w:sz w:val="21"/>
                <w:szCs w:val="21"/>
              </w:rPr>
              <w:t>2处</w:t>
            </w:r>
          </w:p>
        </w:tc>
        <w:tc>
          <w:tcPr>
            <w:tcW w:w="896" w:type="dxa"/>
            <w:vAlign w:val="center"/>
          </w:tcPr>
          <w:p w14:paraId="35B24C1C">
            <w:pPr>
              <w:pStyle w:val="23"/>
              <w:widowControl w:val="0"/>
              <w:kinsoku/>
              <w:adjustRightInd/>
              <w:snapToGrid/>
              <w:jc w:val="center"/>
              <w:rPr>
                <w:rFonts w:hint="default" w:eastAsia="宋体"/>
                <w:sz w:val="21"/>
                <w:szCs w:val="21"/>
                <w:lang w:val="en-US" w:eastAsia="zh-CN"/>
              </w:rPr>
            </w:pPr>
            <w:r>
              <w:rPr>
                <w:rFonts w:hint="eastAsia"/>
                <w:spacing w:val="1"/>
                <w:sz w:val="21"/>
                <w:szCs w:val="21"/>
                <w:lang w:val="en-US" w:eastAsia="zh-CN"/>
              </w:rPr>
              <w:t>24</w:t>
            </w:r>
          </w:p>
        </w:tc>
        <w:tc>
          <w:tcPr>
            <w:tcW w:w="893" w:type="dxa"/>
            <w:vAlign w:val="center"/>
          </w:tcPr>
          <w:p w14:paraId="141E8BD7">
            <w:pPr>
              <w:pStyle w:val="23"/>
              <w:widowControl w:val="0"/>
              <w:kinsoku/>
              <w:adjustRightInd/>
              <w:snapToGrid/>
              <w:jc w:val="center"/>
              <w:rPr>
                <w:rFonts w:hint="eastAsia"/>
                <w:sz w:val="21"/>
                <w:szCs w:val="21"/>
              </w:rPr>
            </w:pPr>
            <w:r>
              <w:rPr>
                <w:rFonts w:hint="eastAsia"/>
                <w:spacing w:val="3"/>
                <w:sz w:val="21"/>
                <w:szCs w:val="21"/>
              </w:rPr>
              <w:t>次/点</w:t>
            </w:r>
          </w:p>
        </w:tc>
      </w:tr>
      <w:tr w14:paraId="4C7BF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773" w:type="dxa"/>
            <w:vMerge w:val="continue"/>
            <w:vAlign w:val="center"/>
          </w:tcPr>
          <w:p w14:paraId="582C8814">
            <w:pPr>
              <w:widowControl w:val="0"/>
              <w:kinsoku/>
              <w:adjustRightInd/>
              <w:snapToGrid/>
              <w:jc w:val="center"/>
              <w:rPr>
                <w:rFonts w:hint="eastAsia" w:ascii="宋体" w:hAnsi="宋体" w:eastAsia="宋体" w:cs="宋体"/>
              </w:rPr>
            </w:pPr>
          </w:p>
        </w:tc>
        <w:tc>
          <w:tcPr>
            <w:tcW w:w="2734" w:type="dxa"/>
            <w:vAlign w:val="center"/>
          </w:tcPr>
          <w:p w14:paraId="0DABFF86">
            <w:pPr>
              <w:pStyle w:val="23"/>
              <w:widowControl w:val="0"/>
              <w:kinsoku/>
              <w:adjustRightInd/>
              <w:snapToGrid/>
              <w:jc w:val="center"/>
              <w:rPr>
                <w:rFonts w:hint="eastAsia"/>
                <w:spacing w:val="8"/>
                <w:sz w:val="21"/>
                <w:szCs w:val="21"/>
              </w:rPr>
            </w:pPr>
            <w:r>
              <w:rPr>
                <w:rFonts w:hint="eastAsia"/>
                <w:spacing w:val="7"/>
                <w:sz w:val="21"/>
                <w:szCs w:val="21"/>
                <w:lang w:eastAsia="zh-CN"/>
              </w:rPr>
              <w:t>平整工程</w:t>
            </w:r>
          </w:p>
        </w:tc>
        <w:tc>
          <w:tcPr>
            <w:tcW w:w="3131" w:type="dxa"/>
            <w:vAlign w:val="center"/>
          </w:tcPr>
          <w:p w14:paraId="3EF07CEA">
            <w:pPr>
              <w:pStyle w:val="23"/>
              <w:widowControl w:val="0"/>
              <w:kinsoku/>
              <w:adjustRightInd/>
              <w:snapToGrid/>
              <w:jc w:val="center"/>
              <w:rPr>
                <w:rFonts w:hint="eastAsia"/>
                <w:spacing w:val="-4"/>
                <w:sz w:val="21"/>
                <w:szCs w:val="21"/>
              </w:rPr>
            </w:pPr>
            <w:r>
              <w:rPr>
                <w:rFonts w:hint="eastAsia" w:ascii="宋体" w:hAnsi="宋体" w:eastAsia="宋体" w:cs="宋体"/>
                <w:spacing w:val="6"/>
                <w:sz w:val="21"/>
                <w:szCs w:val="21"/>
                <w:lang w:eastAsia="zh-CN"/>
              </w:rPr>
              <w:t>采</w:t>
            </w:r>
            <w:r>
              <w:rPr>
                <w:rFonts w:hint="eastAsia" w:cs="宋体"/>
                <w:spacing w:val="6"/>
                <w:sz w:val="21"/>
                <w:szCs w:val="21"/>
                <w:lang w:eastAsia="zh-CN"/>
              </w:rPr>
              <w:t>矿场地年度开采面积</w:t>
            </w:r>
            <w:r>
              <w:rPr>
                <w:rFonts w:hint="eastAsia" w:ascii="宋体" w:hAnsi="宋体" w:eastAsia="宋体" w:cs="宋体"/>
                <w:spacing w:val="1"/>
                <w:sz w:val="21"/>
                <w:szCs w:val="21"/>
                <w:lang w:eastAsia="zh-CN"/>
              </w:rPr>
              <w:t>平整</w:t>
            </w:r>
          </w:p>
        </w:tc>
        <w:tc>
          <w:tcPr>
            <w:tcW w:w="896" w:type="dxa"/>
            <w:vAlign w:val="center"/>
          </w:tcPr>
          <w:p w14:paraId="255CA815">
            <w:pPr>
              <w:pStyle w:val="23"/>
              <w:widowControl w:val="0"/>
              <w:kinsoku/>
              <w:adjustRightInd/>
              <w:snapToGrid/>
              <w:jc w:val="center"/>
              <w:rPr>
                <w:rFonts w:hint="default"/>
                <w:spacing w:val="1"/>
                <w:sz w:val="21"/>
                <w:szCs w:val="21"/>
                <w:lang w:val="en-US"/>
              </w:rPr>
            </w:pPr>
            <w:r>
              <w:rPr>
                <w:rFonts w:hint="eastAsia"/>
                <w:spacing w:val="2"/>
                <w:position w:val="1"/>
                <w:sz w:val="21"/>
                <w:szCs w:val="21"/>
                <w:lang w:val="en-US" w:eastAsia="zh-CN"/>
              </w:rPr>
              <w:t>2.66</w:t>
            </w:r>
          </w:p>
        </w:tc>
        <w:tc>
          <w:tcPr>
            <w:tcW w:w="893" w:type="dxa"/>
            <w:vAlign w:val="center"/>
          </w:tcPr>
          <w:p w14:paraId="1B3C5A69">
            <w:pPr>
              <w:pStyle w:val="23"/>
              <w:widowControl w:val="0"/>
              <w:kinsoku/>
              <w:adjustRightInd/>
              <w:snapToGrid/>
              <w:jc w:val="center"/>
              <w:rPr>
                <w:rFonts w:hint="eastAsia"/>
                <w:spacing w:val="3"/>
                <w:sz w:val="21"/>
                <w:szCs w:val="21"/>
              </w:rPr>
            </w:pPr>
            <w:r>
              <w:rPr>
                <w:rFonts w:hint="eastAsia"/>
                <w:sz w:val="21"/>
                <w:szCs w:val="21"/>
                <w:lang w:eastAsia="zh-CN"/>
              </w:rPr>
              <w:t>h</w:t>
            </w:r>
            <w:r>
              <w:rPr>
                <w:rFonts w:hint="eastAsia"/>
                <w:sz w:val="21"/>
                <w:szCs w:val="21"/>
              </w:rPr>
              <w:t>m</w:t>
            </w:r>
            <w:r>
              <w:rPr>
                <w:rFonts w:hint="eastAsia"/>
                <w:sz w:val="21"/>
                <w:szCs w:val="21"/>
                <w:vertAlign w:val="superscript"/>
                <w:lang w:eastAsia="zh-CN"/>
              </w:rPr>
              <w:t>2</w:t>
            </w:r>
          </w:p>
        </w:tc>
      </w:tr>
      <w:tr w14:paraId="6DCBA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atLeast"/>
        </w:trPr>
        <w:tc>
          <w:tcPr>
            <w:tcW w:w="773" w:type="dxa"/>
            <w:vMerge w:val="restart"/>
            <w:vAlign w:val="center"/>
          </w:tcPr>
          <w:p w14:paraId="35C22757">
            <w:pPr>
              <w:pStyle w:val="23"/>
              <w:widowControl w:val="0"/>
              <w:kinsoku/>
              <w:adjustRightInd/>
              <w:snapToGrid/>
              <w:jc w:val="both"/>
              <w:rPr>
                <w:rFonts w:hint="eastAsia"/>
                <w:sz w:val="21"/>
                <w:szCs w:val="21"/>
              </w:rPr>
            </w:pPr>
            <w:r>
              <w:rPr>
                <w:rFonts w:hint="eastAsia"/>
                <w:spacing w:val="3"/>
                <w:position w:val="1"/>
                <w:sz w:val="21"/>
                <w:szCs w:val="21"/>
              </w:rPr>
              <w:t>2026.12</w:t>
            </w:r>
          </w:p>
          <w:p w14:paraId="746C0F7E">
            <w:pPr>
              <w:pStyle w:val="23"/>
              <w:widowControl w:val="0"/>
              <w:kinsoku/>
              <w:adjustRightInd/>
              <w:snapToGrid/>
              <w:jc w:val="center"/>
              <w:rPr>
                <w:rFonts w:hint="eastAsia"/>
                <w:sz w:val="21"/>
                <w:szCs w:val="21"/>
              </w:rPr>
            </w:pPr>
            <w:r>
              <w:rPr>
                <w:rFonts w:hint="eastAsia"/>
                <w:position w:val="-3"/>
                <w:sz w:val="21"/>
                <w:szCs w:val="21"/>
              </w:rPr>
              <w:t>-</w:t>
            </w:r>
          </w:p>
          <w:p w14:paraId="709B3B46">
            <w:pPr>
              <w:pStyle w:val="23"/>
              <w:widowControl w:val="0"/>
              <w:kinsoku/>
              <w:adjustRightInd/>
              <w:snapToGrid/>
              <w:jc w:val="center"/>
              <w:rPr>
                <w:rFonts w:hint="eastAsia" w:eastAsia="宋体"/>
                <w:sz w:val="21"/>
                <w:szCs w:val="21"/>
                <w:lang w:eastAsia="zh-CN"/>
              </w:rPr>
            </w:pPr>
            <w:r>
              <w:rPr>
                <w:rFonts w:hint="eastAsia"/>
                <w:spacing w:val="3"/>
                <w:position w:val="1"/>
                <w:sz w:val="21"/>
                <w:szCs w:val="21"/>
              </w:rPr>
              <w:t>2027.</w:t>
            </w:r>
            <w:r>
              <w:rPr>
                <w:rFonts w:hint="eastAsia"/>
                <w:spacing w:val="3"/>
                <w:position w:val="1"/>
                <w:sz w:val="21"/>
                <w:szCs w:val="21"/>
                <w:lang w:val="en-US" w:eastAsia="zh-CN"/>
              </w:rPr>
              <w:t>6</w:t>
            </w:r>
          </w:p>
        </w:tc>
        <w:tc>
          <w:tcPr>
            <w:tcW w:w="2734" w:type="dxa"/>
            <w:vAlign w:val="center"/>
          </w:tcPr>
          <w:p w14:paraId="0E3DD8DB">
            <w:pPr>
              <w:pStyle w:val="23"/>
              <w:widowControl w:val="0"/>
              <w:kinsoku/>
              <w:adjustRightInd/>
              <w:snapToGrid/>
              <w:jc w:val="center"/>
              <w:rPr>
                <w:rFonts w:hint="eastAsia" w:eastAsia="宋体"/>
                <w:sz w:val="21"/>
                <w:szCs w:val="21"/>
                <w:lang w:eastAsia="zh-CN"/>
              </w:rPr>
            </w:pPr>
            <w:r>
              <w:rPr>
                <w:rFonts w:hint="eastAsia"/>
                <w:spacing w:val="8"/>
                <w:sz w:val="21"/>
                <w:szCs w:val="21"/>
                <w:lang w:eastAsia="zh-CN"/>
              </w:rPr>
              <w:t>已开挖形成的坡面</w:t>
            </w:r>
            <w:r>
              <w:rPr>
                <w:rFonts w:hint="eastAsia"/>
                <w:spacing w:val="8"/>
                <w:sz w:val="21"/>
                <w:szCs w:val="21"/>
              </w:rPr>
              <w:t>清理</w:t>
            </w:r>
            <w:r>
              <w:rPr>
                <w:rFonts w:hint="eastAsia"/>
                <w:spacing w:val="8"/>
                <w:sz w:val="21"/>
                <w:szCs w:val="21"/>
                <w:lang w:eastAsia="zh-CN"/>
              </w:rPr>
              <w:t>风成沙及坡积物</w:t>
            </w:r>
          </w:p>
        </w:tc>
        <w:tc>
          <w:tcPr>
            <w:tcW w:w="3131" w:type="dxa"/>
            <w:vAlign w:val="center"/>
          </w:tcPr>
          <w:p w14:paraId="75B4F6BD">
            <w:pPr>
              <w:pStyle w:val="23"/>
              <w:widowControl w:val="0"/>
              <w:kinsoku/>
              <w:adjustRightInd/>
              <w:snapToGrid/>
              <w:jc w:val="center"/>
              <w:rPr>
                <w:rFonts w:hint="eastAsia"/>
                <w:sz w:val="21"/>
                <w:szCs w:val="21"/>
                <w:lang w:eastAsia="zh-CN"/>
              </w:rPr>
            </w:pPr>
            <w:r>
              <w:rPr>
                <w:rFonts w:hint="eastAsia"/>
                <w:spacing w:val="8"/>
                <w:sz w:val="21"/>
                <w:szCs w:val="21"/>
                <w:lang w:eastAsia="zh-CN"/>
              </w:rPr>
              <w:t>利用挖机和人工相结合</w:t>
            </w:r>
          </w:p>
        </w:tc>
        <w:tc>
          <w:tcPr>
            <w:tcW w:w="896" w:type="dxa"/>
            <w:vAlign w:val="center"/>
          </w:tcPr>
          <w:p w14:paraId="3A6A9ECE">
            <w:pPr>
              <w:pStyle w:val="23"/>
              <w:widowControl w:val="0"/>
              <w:kinsoku/>
              <w:adjustRightInd/>
              <w:snapToGrid/>
              <w:jc w:val="center"/>
              <w:rPr>
                <w:rFonts w:hint="default"/>
                <w:sz w:val="21"/>
                <w:szCs w:val="21"/>
                <w:lang w:val="en-US" w:eastAsia="zh-CN"/>
              </w:rPr>
            </w:pPr>
            <w:r>
              <w:rPr>
                <w:rFonts w:hint="eastAsia"/>
                <w:spacing w:val="-3"/>
                <w:position w:val="1"/>
                <w:sz w:val="21"/>
                <w:szCs w:val="21"/>
                <w:lang w:val="en-US" w:eastAsia="zh-CN"/>
              </w:rPr>
              <w:t>1436.84</w:t>
            </w:r>
          </w:p>
        </w:tc>
        <w:tc>
          <w:tcPr>
            <w:tcW w:w="893" w:type="dxa"/>
            <w:vAlign w:val="center"/>
          </w:tcPr>
          <w:p w14:paraId="275B1F47">
            <w:pPr>
              <w:pStyle w:val="23"/>
              <w:widowControl w:val="0"/>
              <w:kinsoku/>
              <w:adjustRightInd/>
              <w:snapToGrid/>
              <w:jc w:val="center"/>
              <w:rPr>
                <w:rFonts w:hint="eastAsia"/>
                <w:sz w:val="21"/>
                <w:szCs w:val="21"/>
                <w:lang w:eastAsia="zh-CN"/>
              </w:rPr>
            </w:pPr>
            <w:r>
              <w:rPr>
                <w:rFonts w:hint="eastAsia"/>
                <w:spacing w:val="3"/>
                <w:sz w:val="21"/>
                <w:szCs w:val="21"/>
                <w:lang w:eastAsia="zh-CN"/>
              </w:rPr>
              <w:t>m</w:t>
            </w:r>
            <w:r>
              <w:rPr>
                <w:rFonts w:hint="eastAsia"/>
                <w:spacing w:val="3"/>
                <w:sz w:val="21"/>
                <w:szCs w:val="21"/>
                <w:vertAlign w:val="superscript"/>
                <w:lang w:eastAsia="zh-CN"/>
              </w:rPr>
              <w:t>3</w:t>
            </w:r>
          </w:p>
        </w:tc>
      </w:tr>
      <w:tr w14:paraId="1D7F5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3" w:hRule="atLeast"/>
        </w:trPr>
        <w:tc>
          <w:tcPr>
            <w:tcW w:w="773" w:type="dxa"/>
            <w:vMerge w:val="continue"/>
            <w:vAlign w:val="center"/>
          </w:tcPr>
          <w:p w14:paraId="384BAAD5">
            <w:pPr>
              <w:widowControl w:val="0"/>
              <w:kinsoku/>
              <w:adjustRightInd/>
              <w:snapToGrid/>
              <w:jc w:val="center"/>
              <w:rPr>
                <w:rFonts w:hint="eastAsia" w:ascii="宋体" w:hAnsi="宋体" w:eastAsia="宋体" w:cs="宋体"/>
              </w:rPr>
            </w:pPr>
          </w:p>
        </w:tc>
        <w:tc>
          <w:tcPr>
            <w:tcW w:w="2734" w:type="dxa"/>
            <w:vAlign w:val="center"/>
          </w:tcPr>
          <w:p w14:paraId="49E57EAD">
            <w:pPr>
              <w:pStyle w:val="23"/>
              <w:widowControl w:val="0"/>
              <w:kinsoku/>
              <w:adjustRightInd/>
              <w:snapToGrid/>
              <w:jc w:val="center"/>
              <w:rPr>
                <w:rFonts w:hint="eastAsia"/>
                <w:sz w:val="21"/>
                <w:szCs w:val="21"/>
                <w:lang w:eastAsia="zh-CN"/>
              </w:rPr>
            </w:pPr>
            <w:r>
              <w:rPr>
                <w:rFonts w:hint="eastAsia"/>
                <w:spacing w:val="9"/>
                <w:sz w:val="21"/>
                <w:szCs w:val="21"/>
                <w:lang w:eastAsia="zh-CN"/>
              </w:rPr>
              <w:t>土地资源与地形地貌景观</w:t>
            </w:r>
          </w:p>
        </w:tc>
        <w:tc>
          <w:tcPr>
            <w:tcW w:w="3131" w:type="dxa"/>
            <w:vAlign w:val="center"/>
          </w:tcPr>
          <w:p w14:paraId="04398FC3">
            <w:pPr>
              <w:pStyle w:val="23"/>
              <w:widowControl w:val="0"/>
              <w:kinsoku/>
              <w:adjustRightInd/>
              <w:snapToGrid/>
              <w:jc w:val="center"/>
              <w:rPr>
                <w:rFonts w:hint="eastAsia"/>
                <w:sz w:val="21"/>
                <w:szCs w:val="21"/>
                <w:lang w:eastAsia="zh-CN"/>
              </w:rPr>
            </w:pPr>
            <w:r>
              <w:rPr>
                <w:rFonts w:hint="eastAsia"/>
                <w:spacing w:val="7"/>
                <w:sz w:val="21"/>
                <w:szCs w:val="21"/>
                <w:lang w:eastAsia="zh-CN"/>
              </w:rPr>
              <w:t>土地</w:t>
            </w:r>
            <w:r>
              <w:rPr>
                <w:rFonts w:hint="eastAsia"/>
                <w:spacing w:val="8"/>
                <w:sz w:val="21"/>
                <w:szCs w:val="21"/>
                <w:lang w:eastAsia="zh-CN"/>
              </w:rPr>
              <w:t>损毁和压占情况设计监测点2处</w:t>
            </w:r>
          </w:p>
        </w:tc>
        <w:tc>
          <w:tcPr>
            <w:tcW w:w="896" w:type="dxa"/>
            <w:vAlign w:val="center"/>
          </w:tcPr>
          <w:p w14:paraId="2F4CE84F">
            <w:pPr>
              <w:pStyle w:val="23"/>
              <w:widowControl w:val="0"/>
              <w:kinsoku/>
              <w:adjustRightInd/>
              <w:snapToGrid/>
              <w:jc w:val="center"/>
              <w:rPr>
                <w:rFonts w:hint="eastAsia"/>
                <w:sz w:val="21"/>
                <w:szCs w:val="21"/>
                <w:lang w:eastAsia="zh-CN"/>
              </w:rPr>
            </w:pPr>
            <w:r>
              <w:rPr>
                <w:rFonts w:hint="eastAsia"/>
                <w:position w:val="1"/>
                <w:sz w:val="21"/>
                <w:szCs w:val="21"/>
                <w:lang w:val="en-US" w:eastAsia="zh-CN"/>
              </w:rPr>
              <w:t>2</w:t>
            </w:r>
          </w:p>
        </w:tc>
        <w:tc>
          <w:tcPr>
            <w:tcW w:w="893" w:type="dxa"/>
            <w:vAlign w:val="center"/>
          </w:tcPr>
          <w:p w14:paraId="3478E894">
            <w:pPr>
              <w:pStyle w:val="23"/>
              <w:widowControl w:val="0"/>
              <w:kinsoku/>
              <w:adjustRightInd/>
              <w:snapToGrid/>
              <w:jc w:val="center"/>
              <w:rPr>
                <w:rFonts w:hint="eastAsia"/>
                <w:sz w:val="21"/>
                <w:szCs w:val="21"/>
              </w:rPr>
            </w:pPr>
            <w:r>
              <w:rPr>
                <w:rFonts w:hint="eastAsia"/>
                <w:spacing w:val="3"/>
                <w:sz w:val="21"/>
                <w:szCs w:val="21"/>
              </w:rPr>
              <w:t>次/点</w:t>
            </w:r>
          </w:p>
        </w:tc>
      </w:tr>
      <w:tr w14:paraId="44111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773" w:type="dxa"/>
            <w:vMerge w:val="continue"/>
            <w:vAlign w:val="center"/>
          </w:tcPr>
          <w:p w14:paraId="38AD7884">
            <w:pPr>
              <w:widowControl w:val="0"/>
              <w:kinsoku/>
              <w:adjustRightInd/>
              <w:snapToGrid/>
              <w:jc w:val="center"/>
              <w:rPr>
                <w:rFonts w:hint="eastAsia" w:ascii="宋体" w:hAnsi="宋体" w:eastAsia="宋体" w:cs="宋体"/>
              </w:rPr>
            </w:pPr>
          </w:p>
        </w:tc>
        <w:tc>
          <w:tcPr>
            <w:tcW w:w="2734" w:type="dxa"/>
            <w:vAlign w:val="center"/>
          </w:tcPr>
          <w:p w14:paraId="71F52B1A">
            <w:pPr>
              <w:pStyle w:val="23"/>
              <w:widowControl w:val="0"/>
              <w:kinsoku/>
              <w:adjustRightInd/>
              <w:snapToGrid/>
              <w:jc w:val="center"/>
              <w:rPr>
                <w:rFonts w:hint="eastAsia"/>
                <w:sz w:val="21"/>
                <w:szCs w:val="21"/>
              </w:rPr>
            </w:pPr>
            <w:r>
              <w:rPr>
                <w:rFonts w:hint="eastAsia"/>
                <w:spacing w:val="8"/>
                <w:sz w:val="21"/>
                <w:szCs w:val="21"/>
              </w:rPr>
              <w:t>边坡稳定性监测</w:t>
            </w:r>
          </w:p>
        </w:tc>
        <w:tc>
          <w:tcPr>
            <w:tcW w:w="3131" w:type="dxa"/>
            <w:vAlign w:val="center"/>
          </w:tcPr>
          <w:p w14:paraId="65838BC4">
            <w:pPr>
              <w:pStyle w:val="23"/>
              <w:widowControl w:val="0"/>
              <w:kinsoku/>
              <w:adjustRightInd/>
              <w:snapToGrid/>
              <w:jc w:val="center"/>
              <w:rPr>
                <w:rFonts w:hint="eastAsia"/>
                <w:sz w:val="21"/>
                <w:szCs w:val="21"/>
              </w:rPr>
            </w:pPr>
            <w:r>
              <w:rPr>
                <w:rFonts w:hint="eastAsia"/>
                <w:spacing w:val="-4"/>
                <w:sz w:val="21"/>
                <w:szCs w:val="21"/>
              </w:rPr>
              <w:t>2处</w:t>
            </w:r>
          </w:p>
        </w:tc>
        <w:tc>
          <w:tcPr>
            <w:tcW w:w="896" w:type="dxa"/>
            <w:vAlign w:val="center"/>
          </w:tcPr>
          <w:p w14:paraId="0295B9D8">
            <w:pPr>
              <w:pStyle w:val="23"/>
              <w:widowControl w:val="0"/>
              <w:kinsoku/>
              <w:adjustRightInd/>
              <w:snapToGrid/>
              <w:jc w:val="center"/>
              <w:rPr>
                <w:rFonts w:hint="default" w:eastAsia="宋体"/>
                <w:sz w:val="21"/>
                <w:szCs w:val="21"/>
                <w:lang w:val="en-US" w:eastAsia="zh-CN"/>
              </w:rPr>
            </w:pPr>
            <w:r>
              <w:rPr>
                <w:rFonts w:hint="eastAsia"/>
                <w:spacing w:val="1"/>
                <w:position w:val="1"/>
                <w:sz w:val="21"/>
                <w:szCs w:val="21"/>
                <w:lang w:val="en-US" w:eastAsia="zh-CN"/>
              </w:rPr>
              <w:t>12</w:t>
            </w:r>
          </w:p>
        </w:tc>
        <w:tc>
          <w:tcPr>
            <w:tcW w:w="893" w:type="dxa"/>
            <w:vAlign w:val="center"/>
          </w:tcPr>
          <w:p w14:paraId="45074C90">
            <w:pPr>
              <w:pStyle w:val="23"/>
              <w:widowControl w:val="0"/>
              <w:kinsoku/>
              <w:adjustRightInd/>
              <w:snapToGrid/>
              <w:jc w:val="center"/>
              <w:rPr>
                <w:rFonts w:hint="eastAsia"/>
                <w:sz w:val="21"/>
                <w:szCs w:val="21"/>
              </w:rPr>
            </w:pPr>
            <w:r>
              <w:rPr>
                <w:rFonts w:hint="eastAsia"/>
                <w:spacing w:val="3"/>
                <w:sz w:val="21"/>
                <w:szCs w:val="21"/>
              </w:rPr>
              <w:t>次/点</w:t>
            </w:r>
          </w:p>
        </w:tc>
      </w:tr>
      <w:tr w14:paraId="0DD8C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773" w:type="dxa"/>
            <w:vMerge w:val="continue"/>
            <w:vAlign w:val="center"/>
          </w:tcPr>
          <w:p w14:paraId="6BD3E261">
            <w:pPr>
              <w:widowControl w:val="0"/>
              <w:kinsoku/>
              <w:adjustRightInd/>
              <w:snapToGrid/>
              <w:jc w:val="center"/>
              <w:rPr>
                <w:rFonts w:hint="eastAsia" w:ascii="宋体" w:hAnsi="宋体" w:eastAsia="宋体" w:cs="宋体"/>
              </w:rPr>
            </w:pPr>
          </w:p>
        </w:tc>
        <w:tc>
          <w:tcPr>
            <w:tcW w:w="2734" w:type="dxa"/>
            <w:vAlign w:val="center"/>
          </w:tcPr>
          <w:p w14:paraId="6429AF5E">
            <w:pPr>
              <w:pStyle w:val="23"/>
              <w:widowControl w:val="0"/>
              <w:kinsoku/>
              <w:adjustRightInd/>
              <w:snapToGrid/>
              <w:jc w:val="center"/>
              <w:rPr>
                <w:rFonts w:hint="eastAsia"/>
                <w:spacing w:val="8"/>
                <w:sz w:val="21"/>
                <w:szCs w:val="21"/>
              </w:rPr>
            </w:pPr>
            <w:r>
              <w:rPr>
                <w:rFonts w:hint="eastAsia"/>
                <w:spacing w:val="7"/>
                <w:sz w:val="21"/>
                <w:szCs w:val="21"/>
                <w:lang w:eastAsia="zh-CN"/>
              </w:rPr>
              <w:t>平整工程</w:t>
            </w:r>
          </w:p>
        </w:tc>
        <w:tc>
          <w:tcPr>
            <w:tcW w:w="3131" w:type="dxa"/>
            <w:vAlign w:val="center"/>
          </w:tcPr>
          <w:p w14:paraId="32D6587B">
            <w:pPr>
              <w:pStyle w:val="23"/>
              <w:widowControl w:val="0"/>
              <w:kinsoku/>
              <w:adjustRightInd/>
              <w:snapToGrid/>
              <w:jc w:val="center"/>
              <w:rPr>
                <w:rFonts w:hint="eastAsia"/>
                <w:spacing w:val="-4"/>
                <w:sz w:val="21"/>
                <w:szCs w:val="21"/>
              </w:rPr>
            </w:pPr>
            <w:r>
              <w:rPr>
                <w:rFonts w:hint="eastAsia" w:ascii="宋体" w:hAnsi="宋体" w:eastAsia="宋体" w:cs="宋体"/>
                <w:spacing w:val="6"/>
                <w:sz w:val="21"/>
                <w:szCs w:val="21"/>
                <w:lang w:eastAsia="zh-CN"/>
              </w:rPr>
              <w:t>采</w:t>
            </w:r>
            <w:r>
              <w:rPr>
                <w:rFonts w:hint="eastAsia" w:cs="宋体"/>
                <w:spacing w:val="6"/>
                <w:sz w:val="21"/>
                <w:szCs w:val="21"/>
                <w:lang w:eastAsia="zh-CN"/>
              </w:rPr>
              <w:t>矿场地年度开采面积</w:t>
            </w:r>
            <w:r>
              <w:rPr>
                <w:rFonts w:hint="eastAsia" w:ascii="宋体" w:hAnsi="宋体" w:eastAsia="宋体" w:cs="宋体"/>
                <w:spacing w:val="1"/>
                <w:sz w:val="21"/>
                <w:szCs w:val="21"/>
                <w:lang w:eastAsia="zh-CN"/>
              </w:rPr>
              <w:t>平整</w:t>
            </w:r>
          </w:p>
        </w:tc>
        <w:tc>
          <w:tcPr>
            <w:tcW w:w="896" w:type="dxa"/>
            <w:vAlign w:val="center"/>
          </w:tcPr>
          <w:p w14:paraId="353B8A52">
            <w:pPr>
              <w:pStyle w:val="23"/>
              <w:widowControl w:val="0"/>
              <w:kinsoku/>
              <w:adjustRightInd/>
              <w:snapToGrid/>
              <w:jc w:val="center"/>
              <w:rPr>
                <w:rFonts w:hint="eastAsia"/>
                <w:spacing w:val="1"/>
                <w:position w:val="1"/>
                <w:sz w:val="21"/>
                <w:szCs w:val="21"/>
                <w:lang w:val="en-US" w:eastAsia="zh-CN"/>
              </w:rPr>
            </w:pPr>
            <w:r>
              <w:rPr>
                <w:rFonts w:hint="eastAsia"/>
                <w:spacing w:val="2"/>
                <w:position w:val="1"/>
                <w:sz w:val="21"/>
                <w:szCs w:val="21"/>
                <w:lang w:val="en-US" w:eastAsia="zh-CN"/>
              </w:rPr>
              <w:t>2.66</w:t>
            </w:r>
          </w:p>
        </w:tc>
        <w:tc>
          <w:tcPr>
            <w:tcW w:w="893" w:type="dxa"/>
            <w:vAlign w:val="center"/>
          </w:tcPr>
          <w:p w14:paraId="1FED822B">
            <w:pPr>
              <w:pStyle w:val="23"/>
              <w:widowControl w:val="0"/>
              <w:kinsoku/>
              <w:adjustRightInd/>
              <w:snapToGrid/>
              <w:jc w:val="center"/>
              <w:rPr>
                <w:rFonts w:hint="eastAsia"/>
                <w:spacing w:val="3"/>
                <w:sz w:val="21"/>
                <w:szCs w:val="21"/>
              </w:rPr>
            </w:pPr>
            <w:r>
              <w:rPr>
                <w:rFonts w:hint="eastAsia"/>
                <w:sz w:val="21"/>
                <w:szCs w:val="21"/>
                <w:lang w:eastAsia="zh-CN"/>
              </w:rPr>
              <w:t>h</w:t>
            </w:r>
            <w:r>
              <w:rPr>
                <w:rFonts w:hint="eastAsia"/>
                <w:sz w:val="21"/>
                <w:szCs w:val="21"/>
              </w:rPr>
              <w:t>m</w:t>
            </w:r>
            <w:r>
              <w:rPr>
                <w:rFonts w:hint="eastAsia"/>
                <w:sz w:val="21"/>
                <w:szCs w:val="21"/>
                <w:vertAlign w:val="superscript"/>
                <w:lang w:eastAsia="zh-CN"/>
              </w:rPr>
              <w:t>2</w:t>
            </w:r>
          </w:p>
        </w:tc>
      </w:tr>
    </w:tbl>
    <w:p w14:paraId="3D422552">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2、经费经度安排</w:t>
      </w:r>
    </w:p>
    <w:p w14:paraId="2D9E8831">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矿区生态修复工程总经费为</w:t>
      </w:r>
      <w:r>
        <w:rPr>
          <w:rFonts w:hint="eastAsia" w:ascii="宋体" w:hAnsi="宋体" w:eastAsia="宋体" w:cs="宋体"/>
          <w:spacing w:val="4"/>
          <w:sz w:val="28"/>
          <w:szCs w:val="28"/>
          <w:lang w:val="en-US" w:eastAsia="zh-CN"/>
        </w:rPr>
        <w:t>1786218.35</w:t>
      </w:r>
      <w:r>
        <w:rPr>
          <w:rFonts w:hint="eastAsia" w:ascii="宋体" w:hAnsi="宋体" w:eastAsia="宋体" w:cs="宋体"/>
          <w:spacing w:val="4"/>
          <w:sz w:val="28"/>
          <w:szCs w:val="28"/>
          <w:lang w:eastAsia="zh-CN"/>
        </w:rPr>
        <w:t>元（约</w:t>
      </w:r>
      <w:r>
        <w:rPr>
          <w:rFonts w:hint="eastAsia" w:ascii="宋体" w:hAnsi="宋体" w:eastAsia="宋体" w:cs="宋体"/>
          <w:spacing w:val="4"/>
          <w:sz w:val="28"/>
          <w:szCs w:val="28"/>
          <w:lang w:val="en-US" w:eastAsia="zh-CN"/>
        </w:rPr>
        <w:t>178.62</w:t>
      </w:r>
      <w:r>
        <w:rPr>
          <w:rFonts w:hint="eastAsia" w:ascii="宋体" w:hAnsi="宋体" w:eastAsia="宋体" w:cs="宋体"/>
          <w:spacing w:val="4"/>
          <w:sz w:val="28"/>
          <w:szCs w:val="28"/>
          <w:lang w:eastAsia="zh-CN"/>
        </w:rPr>
        <w:t>万元）。设专门帐户，专款专用，按规定单独建账，单独核算，同时加强对项目资金的监管，实现按项目进度分期拨款。近期工程纳入预算的主要有露天采场风成沙及坡积物清理的清理，经费需要</w:t>
      </w:r>
      <w:r>
        <w:rPr>
          <w:rFonts w:hint="eastAsia" w:ascii="宋体" w:hAnsi="宋体" w:eastAsia="宋体" w:cs="宋体"/>
          <w:spacing w:val="4"/>
          <w:sz w:val="28"/>
          <w:szCs w:val="28"/>
          <w:lang w:val="en-US" w:eastAsia="zh-CN"/>
        </w:rPr>
        <w:t>532962.82</w:t>
      </w:r>
      <w:r>
        <w:rPr>
          <w:rFonts w:hint="eastAsia" w:ascii="宋体" w:hAnsi="宋体" w:eastAsia="宋体" w:cs="宋体"/>
          <w:spacing w:val="4"/>
          <w:sz w:val="28"/>
          <w:szCs w:val="28"/>
          <w:lang w:eastAsia="zh-CN"/>
        </w:rPr>
        <w:t>元（</w:t>
      </w:r>
      <w:r>
        <w:rPr>
          <w:rFonts w:hint="eastAsia" w:ascii="宋体" w:hAnsi="宋体" w:eastAsia="宋体" w:cs="宋体"/>
          <w:spacing w:val="4"/>
          <w:sz w:val="28"/>
          <w:szCs w:val="28"/>
          <w:lang w:val="en-US" w:eastAsia="zh-CN"/>
        </w:rPr>
        <w:t>53.30</w:t>
      </w:r>
      <w:r>
        <w:rPr>
          <w:rFonts w:hint="eastAsia" w:ascii="宋体" w:hAnsi="宋体" w:eastAsia="宋体" w:cs="宋体"/>
          <w:spacing w:val="4"/>
          <w:sz w:val="28"/>
          <w:szCs w:val="28"/>
          <w:lang w:eastAsia="zh-CN"/>
        </w:rPr>
        <w:t>万元）。</w:t>
      </w:r>
    </w:p>
    <w:p w14:paraId="35DB8BA1">
      <w:pPr>
        <w:spacing w:before="3" w:line="227" w:lineRule="auto"/>
        <w:jc w:val="center"/>
        <w:rPr>
          <w:rFonts w:hint="eastAsia" w:ascii="宋体" w:hAnsi="宋体" w:eastAsia="宋体" w:cs="宋体"/>
          <w:b/>
          <w:bCs/>
          <w:spacing w:val="6"/>
          <w:sz w:val="21"/>
          <w:szCs w:val="21"/>
          <w:lang w:eastAsia="zh-CN"/>
        </w:rPr>
      </w:pPr>
      <w:r>
        <w:rPr>
          <w:rFonts w:hint="eastAsia" w:ascii="宋体" w:hAnsi="宋体" w:eastAsia="宋体" w:cs="宋体"/>
          <w:b/>
          <w:bCs/>
          <w:spacing w:val="6"/>
          <w:sz w:val="21"/>
          <w:szCs w:val="21"/>
          <w:lang w:eastAsia="zh-CN"/>
        </w:rPr>
        <w:t>表</w:t>
      </w:r>
      <w:r>
        <w:rPr>
          <w:rFonts w:hint="eastAsia" w:ascii="宋体" w:hAnsi="宋体" w:eastAsia="宋体" w:cs="宋体"/>
          <w:b/>
          <w:bCs/>
          <w:spacing w:val="6"/>
          <w:sz w:val="21"/>
          <w:szCs w:val="21"/>
          <w:lang w:val="en-US" w:eastAsia="zh-CN"/>
        </w:rPr>
        <w:t>6</w:t>
      </w:r>
      <w:r>
        <w:rPr>
          <w:rFonts w:hint="eastAsia" w:ascii="宋体" w:hAnsi="宋体" w:eastAsia="宋体" w:cs="宋体"/>
          <w:b/>
          <w:bCs/>
          <w:spacing w:val="6"/>
          <w:sz w:val="21"/>
          <w:szCs w:val="21"/>
          <w:lang w:eastAsia="zh-CN"/>
        </w:rPr>
        <w:t>-5</w:t>
      </w:r>
      <w:r>
        <w:rPr>
          <w:rFonts w:hint="eastAsia" w:ascii="宋体" w:hAnsi="宋体" w:eastAsia="宋体" w:cs="宋体"/>
          <w:b/>
          <w:bCs/>
          <w:spacing w:val="6"/>
          <w:sz w:val="21"/>
          <w:szCs w:val="21"/>
          <w:lang w:val="en-US" w:eastAsia="zh-CN"/>
        </w:rPr>
        <w:t xml:space="preserve">  </w:t>
      </w:r>
      <w:r>
        <w:rPr>
          <w:rFonts w:hint="eastAsia" w:ascii="宋体" w:hAnsi="宋体" w:eastAsia="宋体" w:cs="宋体"/>
          <w:b/>
          <w:bCs/>
          <w:spacing w:val="6"/>
          <w:sz w:val="21"/>
          <w:szCs w:val="21"/>
          <w:lang w:eastAsia="zh-CN"/>
        </w:rPr>
        <w:t>近期（2025-20</w:t>
      </w:r>
      <w:r>
        <w:rPr>
          <w:rFonts w:hint="eastAsia" w:ascii="宋体" w:hAnsi="宋体" w:eastAsia="宋体" w:cs="宋体"/>
          <w:b/>
          <w:bCs/>
          <w:spacing w:val="6"/>
          <w:sz w:val="21"/>
          <w:szCs w:val="21"/>
          <w:lang w:val="en-US" w:eastAsia="zh-CN"/>
        </w:rPr>
        <w:t>27</w:t>
      </w:r>
      <w:r>
        <w:rPr>
          <w:rFonts w:hint="eastAsia" w:ascii="宋体" w:hAnsi="宋体" w:eastAsia="宋体" w:cs="宋体"/>
          <w:b/>
          <w:bCs/>
          <w:spacing w:val="6"/>
          <w:sz w:val="21"/>
          <w:szCs w:val="21"/>
          <w:lang w:eastAsia="zh-CN"/>
        </w:rPr>
        <w:t>年度）经费安排表</w:t>
      </w:r>
    </w:p>
    <w:tbl>
      <w:tblPr>
        <w:tblStyle w:val="22"/>
        <w:tblW w:w="8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20"/>
        <w:gridCol w:w="1627"/>
        <w:gridCol w:w="2018"/>
        <w:gridCol w:w="653"/>
        <w:gridCol w:w="881"/>
        <w:gridCol w:w="738"/>
        <w:gridCol w:w="945"/>
        <w:gridCol w:w="560"/>
      </w:tblGrid>
      <w:tr w14:paraId="2DEE2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9" w:hRule="atLeast"/>
          <w:jc w:val="center"/>
        </w:trPr>
        <w:tc>
          <w:tcPr>
            <w:tcW w:w="1020" w:type="dxa"/>
            <w:vAlign w:val="center"/>
          </w:tcPr>
          <w:p w14:paraId="4288726F">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年份</w:t>
            </w:r>
          </w:p>
        </w:tc>
        <w:tc>
          <w:tcPr>
            <w:tcW w:w="1627" w:type="dxa"/>
            <w:vAlign w:val="center"/>
          </w:tcPr>
          <w:p w14:paraId="079AE917">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7"/>
                <w:sz w:val="21"/>
                <w:szCs w:val="21"/>
              </w:rPr>
              <w:t>工程名称</w:t>
            </w:r>
          </w:p>
        </w:tc>
        <w:tc>
          <w:tcPr>
            <w:tcW w:w="2018" w:type="dxa"/>
            <w:vAlign w:val="center"/>
          </w:tcPr>
          <w:p w14:paraId="5CECC5E2">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7"/>
                <w:sz w:val="21"/>
                <w:szCs w:val="21"/>
              </w:rPr>
              <w:t>工程方案</w:t>
            </w:r>
          </w:p>
        </w:tc>
        <w:tc>
          <w:tcPr>
            <w:tcW w:w="653" w:type="dxa"/>
            <w:vAlign w:val="center"/>
          </w:tcPr>
          <w:p w14:paraId="02706797">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单位</w:t>
            </w:r>
          </w:p>
        </w:tc>
        <w:tc>
          <w:tcPr>
            <w:tcW w:w="881" w:type="dxa"/>
            <w:vAlign w:val="center"/>
          </w:tcPr>
          <w:p w14:paraId="2D42C254">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6"/>
                <w:sz w:val="21"/>
                <w:szCs w:val="21"/>
              </w:rPr>
              <w:t>工程量</w:t>
            </w:r>
          </w:p>
        </w:tc>
        <w:tc>
          <w:tcPr>
            <w:tcW w:w="738" w:type="dxa"/>
            <w:vAlign w:val="center"/>
          </w:tcPr>
          <w:p w14:paraId="7525EC61">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单价</w:t>
            </w:r>
            <w:r>
              <w:rPr>
                <w:rFonts w:hint="eastAsia" w:ascii="宋体" w:hAnsi="宋体" w:eastAsia="宋体" w:cs="宋体"/>
                <w:spacing w:val="-2"/>
                <w:sz w:val="21"/>
                <w:szCs w:val="21"/>
              </w:rPr>
              <w:t>（元）</w:t>
            </w:r>
          </w:p>
        </w:tc>
        <w:tc>
          <w:tcPr>
            <w:tcW w:w="945" w:type="dxa"/>
            <w:vAlign w:val="center"/>
          </w:tcPr>
          <w:p w14:paraId="4AEA2A3E">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金额</w:t>
            </w:r>
            <w:r>
              <w:rPr>
                <w:rFonts w:hint="eastAsia" w:ascii="宋体" w:hAnsi="宋体" w:eastAsia="宋体" w:cs="宋体"/>
                <w:spacing w:val="-2"/>
                <w:sz w:val="21"/>
                <w:szCs w:val="21"/>
              </w:rPr>
              <w:t>（元）</w:t>
            </w:r>
          </w:p>
        </w:tc>
        <w:tc>
          <w:tcPr>
            <w:tcW w:w="560" w:type="dxa"/>
            <w:vAlign w:val="center"/>
          </w:tcPr>
          <w:p w14:paraId="43805949">
            <w:pPr>
              <w:pStyle w:val="23"/>
              <w:keepNext w:val="0"/>
              <w:keepLines w:val="0"/>
              <w:pageBreakBefore w:val="0"/>
              <w:widowControl w:val="0"/>
              <w:kinsoku/>
              <w:wordWrap/>
              <w:overflowPunct/>
              <w:topLinePunct w:val="0"/>
              <w:autoSpaceDE w:val="0"/>
              <w:autoSpaceDN w:val="0"/>
              <w:bidi w:val="0"/>
              <w:adjustRightInd/>
              <w:snapToGrid/>
              <w:jc w:val="both"/>
              <w:textAlignment w:val="baseline"/>
              <w:rPr>
                <w:rFonts w:hint="eastAsia" w:ascii="宋体" w:hAnsi="宋体" w:eastAsia="宋体" w:cs="宋体"/>
                <w:sz w:val="21"/>
                <w:szCs w:val="21"/>
              </w:rPr>
            </w:pPr>
            <w:r>
              <w:rPr>
                <w:rFonts w:hint="eastAsia" w:ascii="宋体" w:hAnsi="宋体" w:eastAsia="宋体" w:cs="宋体"/>
                <w:spacing w:val="6"/>
                <w:sz w:val="21"/>
                <w:szCs w:val="21"/>
              </w:rPr>
              <w:t>合计（元）</w:t>
            </w:r>
          </w:p>
        </w:tc>
      </w:tr>
      <w:tr w14:paraId="547FF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4" w:hRule="atLeast"/>
          <w:jc w:val="center"/>
        </w:trPr>
        <w:tc>
          <w:tcPr>
            <w:tcW w:w="1020" w:type="dxa"/>
            <w:vMerge w:val="restart"/>
            <w:vAlign w:val="center"/>
          </w:tcPr>
          <w:p w14:paraId="24161402">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3"/>
                <w:position w:val="1"/>
                <w:sz w:val="21"/>
                <w:szCs w:val="21"/>
              </w:rPr>
              <w:t>2025.12-</w:t>
            </w:r>
          </w:p>
          <w:p w14:paraId="7E0A5B94">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3"/>
                <w:position w:val="1"/>
                <w:sz w:val="21"/>
                <w:szCs w:val="21"/>
              </w:rPr>
              <w:t>2026.12</w:t>
            </w:r>
          </w:p>
        </w:tc>
        <w:tc>
          <w:tcPr>
            <w:tcW w:w="1627" w:type="dxa"/>
            <w:vAlign w:val="center"/>
          </w:tcPr>
          <w:p w14:paraId="6E682836">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pacing w:val="8"/>
                <w:sz w:val="21"/>
                <w:szCs w:val="21"/>
              </w:rPr>
              <w:t>清理</w:t>
            </w:r>
            <w:r>
              <w:rPr>
                <w:rFonts w:hint="eastAsia" w:cs="宋体"/>
                <w:spacing w:val="8"/>
                <w:sz w:val="21"/>
                <w:szCs w:val="21"/>
                <w:lang w:eastAsia="zh-CN"/>
              </w:rPr>
              <w:t>风成沙及坡积物清理</w:t>
            </w:r>
          </w:p>
        </w:tc>
        <w:tc>
          <w:tcPr>
            <w:tcW w:w="2018" w:type="dxa"/>
            <w:vAlign w:val="center"/>
          </w:tcPr>
          <w:p w14:paraId="4290F79E">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pacing w:val="9"/>
                <w:sz w:val="21"/>
                <w:szCs w:val="21"/>
                <w:lang w:eastAsia="zh-CN"/>
              </w:rPr>
              <w:t>利用挖机和人工相结</w:t>
            </w:r>
          </w:p>
          <w:p w14:paraId="0571E840">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z w:val="21"/>
                <w:szCs w:val="21"/>
                <w:lang w:eastAsia="zh-CN"/>
              </w:rPr>
              <w:t>合</w:t>
            </w:r>
          </w:p>
        </w:tc>
        <w:tc>
          <w:tcPr>
            <w:tcW w:w="653" w:type="dxa"/>
            <w:vAlign w:val="center"/>
          </w:tcPr>
          <w:p w14:paraId="7D8CAFB1">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1"/>
                <w:sz w:val="21"/>
                <w:szCs w:val="21"/>
                <w:lang w:eastAsia="zh-CN"/>
              </w:rPr>
              <w:t>m</w:t>
            </w:r>
            <w:r>
              <w:rPr>
                <w:rFonts w:hint="eastAsia" w:ascii="宋体" w:hAnsi="宋体" w:eastAsia="宋体" w:cs="宋体"/>
                <w:spacing w:val="1"/>
                <w:sz w:val="21"/>
                <w:szCs w:val="21"/>
                <w:vertAlign w:val="superscript"/>
                <w:lang w:eastAsia="zh-CN"/>
              </w:rPr>
              <w:t>3</w:t>
            </w:r>
          </w:p>
        </w:tc>
        <w:tc>
          <w:tcPr>
            <w:tcW w:w="881" w:type="dxa"/>
            <w:shd w:val="clear" w:color="auto" w:fill="auto"/>
            <w:vAlign w:val="center"/>
          </w:tcPr>
          <w:p w14:paraId="193D17EF">
            <w:pPr>
              <w:keepNext w:val="0"/>
              <w:keepLines w:val="0"/>
              <w:widowControl/>
              <w:suppressLineNumbers w:val="0"/>
              <w:jc w:val="center"/>
              <w:textAlignment w:val="bottom"/>
              <w:rPr>
                <w:rFonts w:hint="eastAsia" w:ascii="宋体" w:hAnsi="宋体" w:eastAsia="宋体" w:cs="宋体"/>
                <w:snapToGrid w:val="0"/>
                <w:color w:val="000000"/>
                <w:spacing w:val="3"/>
                <w:position w:val="1"/>
                <w:sz w:val="21"/>
                <w:szCs w:val="21"/>
                <w:lang w:val="en-US" w:eastAsia="en-US" w:bidi="ar-SA"/>
              </w:rPr>
            </w:pPr>
            <w:r>
              <w:rPr>
                <w:rFonts w:hint="eastAsia" w:ascii="宋体" w:hAnsi="宋体" w:eastAsia="宋体" w:cs="宋体"/>
                <w:snapToGrid w:val="0"/>
                <w:color w:val="000000"/>
                <w:spacing w:val="3"/>
                <w:position w:val="1"/>
                <w:sz w:val="21"/>
                <w:szCs w:val="21"/>
                <w:lang w:val="en-US" w:eastAsia="zh-CN" w:bidi="ar-SA"/>
              </w:rPr>
              <w:t>1436.84</w:t>
            </w:r>
          </w:p>
        </w:tc>
        <w:tc>
          <w:tcPr>
            <w:tcW w:w="738" w:type="dxa"/>
            <w:vAlign w:val="center"/>
          </w:tcPr>
          <w:p w14:paraId="57CBDE66">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default" w:ascii="宋体" w:hAnsi="宋体" w:eastAsia="宋体" w:cs="宋体"/>
                <w:snapToGrid w:val="0"/>
                <w:color w:val="000000"/>
                <w:spacing w:val="3"/>
                <w:position w:val="1"/>
                <w:sz w:val="21"/>
                <w:szCs w:val="21"/>
                <w:lang w:val="en-US" w:eastAsia="zh-CN" w:bidi="ar-SA"/>
              </w:rPr>
            </w:pPr>
            <w:r>
              <w:rPr>
                <w:rFonts w:hint="eastAsia" w:cs="宋体"/>
                <w:snapToGrid w:val="0"/>
                <w:color w:val="000000"/>
                <w:spacing w:val="3"/>
                <w:position w:val="1"/>
                <w:sz w:val="21"/>
                <w:szCs w:val="21"/>
                <w:lang w:val="en-US" w:eastAsia="zh-CN" w:bidi="ar-SA"/>
              </w:rPr>
              <w:t>64.42</w:t>
            </w:r>
          </w:p>
        </w:tc>
        <w:tc>
          <w:tcPr>
            <w:tcW w:w="945" w:type="dxa"/>
            <w:shd w:val="clear" w:color="auto" w:fill="auto"/>
            <w:vAlign w:val="center"/>
          </w:tcPr>
          <w:p w14:paraId="431FE032">
            <w:pPr>
              <w:keepNext w:val="0"/>
              <w:keepLines w:val="0"/>
              <w:widowControl/>
              <w:suppressLineNumbers w:val="0"/>
              <w:jc w:val="center"/>
              <w:textAlignment w:val="bottom"/>
              <w:rPr>
                <w:rFonts w:hint="default" w:ascii="宋体" w:hAnsi="宋体" w:eastAsia="宋体" w:cs="宋体"/>
                <w:snapToGrid w:val="0"/>
                <w:color w:val="000000"/>
                <w:spacing w:val="3"/>
                <w:position w:val="1"/>
                <w:sz w:val="21"/>
                <w:szCs w:val="21"/>
                <w:lang w:val="en-US" w:eastAsia="en-US" w:bidi="ar-SA"/>
              </w:rPr>
            </w:pPr>
            <w:r>
              <w:rPr>
                <w:rFonts w:hint="eastAsia" w:ascii="宋体" w:hAnsi="宋体" w:eastAsia="宋体" w:cs="宋体"/>
                <w:snapToGrid w:val="0"/>
                <w:color w:val="000000"/>
                <w:spacing w:val="3"/>
                <w:position w:val="1"/>
                <w:sz w:val="21"/>
                <w:szCs w:val="21"/>
                <w:lang w:val="en-US" w:eastAsia="zh-CN" w:bidi="ar-SA"/>
              </w:rPr>
              <w:t>46280.6</w:t>
            </w:r>
          </w:p>
        </w:tc>
        <w:tc>
          <w:tcPr>
            <w:tcW w:w="560" w:type="dxa"/>
            <w:vMerge w:val="restart"/>
            <w:shd w:val="clear" w:color="auto" w:fill="auto"/>
            <w:vAlign w:val="center"/>
          </w:tcPr>
          <w:p w14:paraId="38E8C2A5">
            <w:pPr>
              <w:keepNext w:val="0"/>
              <w:keepLines w:val="0"/>
              <w:widowControl/>
              <w:suppressLineNumbers w:val="0"/>
              <w:jc w:val="center"/>
              <w:textAlignment w:val="bottom"/>
              <w:rPr>
                <w:rFonts w:hint="eastAsia" w:ascii="宋体" w:hAnsi="宋体" w:eastAsia="宋体" w:cs="宋体"/>
                <w:i w:val="0"/>
                <w:iCs w:val="0"/>
                <w:snapToGrid w:val="0"/>
                <w:color w:val="000000"/>
                <w:sz w:val="24"/>
                <w:szCs w:val="24"/>
                <w:u w:val="none"/>
                <w:lang w:val="en-US" w:eastAsia="en-US" w:bidi="ar-SA"/>
              </w:rPr>
            </w:pPr>
            <w:r>
              <w:rPr>
                <w:rFonts w:hint="eastAsia" w:ascii="宋体" w:hAnsi="宋体" w:eastAsia="宋体" w:cs="宋体"/>
                <w:snapToGrid w:val="0"/>
                <w:color w:val="000000"/>
                <w:position w:val="1"/>
                <w:sz w:val="21"/>
                <w:szCs w:val="21"/>
                <w:lang w:val="en-US" w:eastAsia="zh-CN" w:bidi="ar-SA"/>
              </w:rPr>
              <w:t>266481.41</w:t>
            </w:r>
          </w:p>
        </w:tc>
      </w:tr>
      <w:tr w14:paraId="4265C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8" w:hRule="atLeast"/>
          <w:jc w:val="center"/>
        </w:trPr>
        <w:tc>
          <w:tcPr>
            <w:tcW w:w="1020" w:type="dxa"/>
            <w:vMerge w:val="continue"/>
            <w:vAlign w:val="center"/>
          </w:tcPr>
          <w:p w14:paraId="4D337F22">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c>
          <w:tcPr>
            <w:tcW w:w="1627" w:type="dxa"/>
            <w:vAlign w:val="center"/>
          </w:tcPr>
          <w:p w14:paraId="4BA1186A">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pacing w:val="8"/>
                <w:sz w:val="21"/>
                <w:szCs w:val="21"/>
                <w:lang w:eastAsia="zh-CN"/>
              </w:rPr>
              <w:t>土地资源与地形</w:t>
            </w:r>
            <w:r>
              <w:rPr>
                <w:rFonts w:hint="eastAsia" w:ascii="宋体" w:hAnsi="宋体" w:eastAsia="宋体" w:cs="宋体"/>
                <w:spacing w:val="6"/>
                <w:sz w:val="21"/>
                <w:szCs w:val="21"/>
                <w:lang w:eastAsia="zh-CN"/>
              </w:rPr>
              <w:t>地貌景观监测</w:t>
            </w:r>
          </w:p>
        </w:tc>
        <w:tc>
          <w:tcPr>
            <w:tcW w:w="2018" w:type="dxa"/>
            <w:vAlign w:val="center"/>
          </w:tcPr>
          <w:p w14:paraId="7E3264E8">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pacing w:val="5"/>
                <w:sz w:val="21"/>
                <w:szCs w:val="21"/>
                <w:lang w:eastAsia="zh-CN"/>
              </w:rPr>
              <w:t>土地损</w:t>
            </w:r>
            <w:r>
              <w:rPr>
                <w:rFonts w:hint="eastAsia" w:ascii="宋体" w:hAnsi="宋体" w:eastAsia="宋体" w:cs="宋体"/>
                <w:spacing w:val="8"/>
                <w:sz w:val="21"/>
                <w:szCs w:val="21"/>
                <w:lang w:eastAsia="zh-CN"/>
              </w:rPr>
              <w:t>毁和压占情况设计监</w:t>
            </w:r>
            <w:r>
              <w:rPr>
                <w:rFonts w:hint="eastAsia" w:ascii="宋体" w:hAnsi="宋体" w:eastAsia="宋体" w:cs="宋体"/>
                <w:spacing w:val="4"/>
                <w:sz w:val="21"/>
                <w:szCs w:val="21"/>
                <w:lang w:eastAsia="zh-CN"/>
              </w:rPr>
              <w:t>测点2处</w:t>
            </w:r>
          </w:p>
        </w:tc>
        <w:tc>
          <w:tcPr>
            <w:tcW w:w="653" w:type="dxa"/>
            <w:vAlign w:val="center"/>
          </w:tcPr>
          <w:p w14:paraId="6E5626A4">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z w:val="21"/>
                <w:szCs w:val="21"/>
              </w:rPr>
              <w:t>次/点</w:t>
            </w:r>
          </w:p>
        </w:tc>
        <w:tc>
          <w:tcPr>
            <w:tcW w:w="881" w:type="dxa"/>
            <w:vAlign w:val="center"/>
          </w:tcPr>
          <w:p w14:paraId="7A156646">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position w:val="1"/>
                <w:sz w:val="21"/>
                <w:szCs w:val="21"/>
                <w:lang w:eastAsia="zh-CN"/>
              </w:rPr>
              <w:t>4</w:t>
            </w:r>
          </w:p>
        </w:tc>
        <w:tc>
          <w:tcPr>
            <w:tcW w:w="738" w:type="dxa"/>
            <w:vAlign w:val="center"/>
          </w:tcPr>
          <w:p w14:paraId="22017FA5">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2"/>
                <w:position w:val="-3"/>
                <w:sz w:val="21"/>
                <w:szCs w:val="21"/>
              </w:rPr>
              <w:t>—</w:t>
            </w:r>
          </w:p>
        </w:tc>
        <w:tc>
          <w:tcPr>
            <w:tcW w:w="945" w:type="dxa"/>
            <w:vAlign w:val="center"/>
          </w:tcPr>
          <w:p w14:paraId="2E8AAC4B">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2"/>
                <w:position w:val="-3"/>
                <w:sz w:val="21"/>
                <w:szCs w:val="21"/>
              </w:rPr>
              <w:t>—</w:t>
            </w:r>
          </w:p>
        </w:tc>
        <w:tc>
          <w:tcPr>
            <w:tcW w:w="560" w:type="dxa"/>
            <w:vMerge w:val="continue"/>
            <w:vAlign w:val="center"/>
          </w:tcPr>
          <w:p w14:paraId="19007A70">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r>
      <w:tr w14:paraId="57901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atLeast"/>
          <w:jc w:val="center"/>
        </w:trPr>
        <w:tc>
          <w:tcPr>
            <w:tcW w:w="1020" w:type="dxa"/>
            <w:vMerge w:val="continue"/>
            <w:vAlign w:val="center"/>
          </w:tcPr>
          <w:p w14:paraId="56CB311E">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c>
          <w:tcPr>
            <w:tcW w:w="1627" w:type="dxa"/>
            <w:vAlign w:val="center"/>
          </w:tcPr>
          <w:p w14:paraId="4C283852">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8"/>
                <w:sz w:val="21"/>
                <w:szCs w:val="21"/>
              </w:rPr>
              <w:t>边坡稳定性监测</w:t>
            </w:r>
          </w:p>
        </w:tc>
        <w:tc>
          <w:tcPr>
            <w:tcW w:w="2018" w:type="dxa"/>
            <w:vAlign w:val="center"/>
          </w:tcPr>
          <w:p w14:paraId="3E057542">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2"/>
                <w:sz w:val="21"/>
                <w:szCs w:val="21"/>
              </w:rPr>
              <w:t>2处</w:t>
            </w:r>
          </w:p>
        </w:tc>
        <w:tc>
          <w:tcPr>
            <w:tcW w:w="653" w:type="dxa"/>
            <w:vAlign w:val="center"/>
          </w:tcPr>
          <w:p w14:paraId="72704C26">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z w:val="21"/>
                <w:szCs w:val="21"/>
              </w:rPr>
              <w:t>次/点</w:t>
            </w:r>
          </w:p>
        </w:tc>
        <w:tc>
          <w:tcPr>
            <w:tcW w:w="881" w:type="dxa"/>
            <w:vAlign w:val="center"/>
          </w:tcPr>
          <w:p w14:paraId="59265294">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default" w:ascii="宋体" w:hAnsi="宋体" w:eastAsia="宋体" w:cs="宋体"/>
                <w:sz w:val="21"/>
                <w:szCs w:val="21"/>
                <w:lang w:val="en-US" w:eastAsia="zh-CN"/>
              </w:rPr>
            </w:pPr>
            <w:r>
              <w:rPr>
                <w:rFonts w:hint="eastAsia" w:cs="宋体"/>
                <w:spacing w:val="1"/>
                <w:position w:val="1"/>
                <w:sz w:val="21"/>
                <w:szCs w:val="21"/>
                <w:lang w:val="en-US" w:eastAsia="zh-CN"/>
              </w:rPr>
              <w:t>24</w:t>
            </w:r>
          </w:p>
        </w:tc>
        <w:tc>
          <w:tcPr>
            <w:tcW w:w="738" w:type="dxa"/>
            <w:vAlign w:val="center"/>
          </w:tcPr>
          <w:p w14:paraId="2E3ACC83">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2"/>
                <w:position w:val="-3"/>
                <w:sz w:val="21"/>
                <w:szCs w:val="21"/>
              </w:rPr>
              <w:t>—</w:t>
            </w:r>
          </w:p>
        </w:tc>
        <w:tc>
          <w:tcPr>
            <w:tcW w:w="945" w:type="dxa"/>
            <w:vAlign w:val="center"/>
          </w:tcPr>
          <w:p w14:paraId="20C481C7">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2"/>
                <w:position w:val="-3"/>
                <w:sz w:val="21"/>
                <w:szCs w:val="21"/>
              </w:rPr>
              <w:t>—</w:t>
            </w:r>
          </w:p>
        </w:tc>
        <w:tc>
          <w:tcPr>
            <w:tcW w:w="560" w:type="dxa"/>
            <w:vMerge w:val="continue"/>
            <w:vAlign w:val="center"/>
          </w:tcPr>
          <w:p w14:paraId="2DB36E02">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r>
      <w:tr w14:paraId="1DEFC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atLeast"/>
          <w:jc w:val="center"/>
        </w:trPr>
        <w:tc>
          <w:tcPr>
            <w:tcW w:w="1020" w:type="dxa"/>
            <w:vMerge w:val="continue"/>
            <w:vAlign w:val="center"/>
          </w:tcPr>
          <w:p w14:paraId="10985843">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c>
          <w:tcPr>
            <w:tcW w:w="1627" w:type="dxa"/>
            <w:vAlign w:val="center"/>
          </w:tcPr>
          <w:p w14:paraId="3B7C2AFA">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pacing w:val="8"/>
                <w:sz w:val="21"/>
                <w:szCs w:val="21"/>
              </w:rPr>
            </w:pPr>
            <w:r>
              <w:rPr>
                <w:rFonts w:hint="eastAsia" w:ascii="宋体" w:hAnsi="宋体" w:eastAsia="宋体" w:cs="宋体"/>
                <w:spacing w:val="8"/>
                <w:sz w:val="21"/>
                <w:szCs w:val="21"/>
                <w:lang w:eastAsia="zh-CN"/>
              </w:rPr>
              <w:t>平整工程</w:t>
            </w:r>
          </w:p>
        </w:tc>
        <w:tc>
          <w:tcPr>
            <w:tcW w:w="2018" w:type="dxa"/>
            <w:vAlign w:val="center"/>
          </w:tcPr>
          <w:p w14:paraId="56D6DD8A">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pacing w:val="2"/>
                <w:sz w:val="21"/>
                <w:szCs w:val="21"/>
              </w:rPr>
            </w:pPr>
            <w:r>
              <w:rPr>
                <w:rFonts w:hint="eastAsia" w:ascii="宋体" w:hAnsi="宋体" w:eastAsia="宋体" w:cs="宋体"/>
                <w:spacing w:val="6"/>
                <w:sz w:val="21"/>
                <w:szCs w:val="21"/>
                <w:lang w:eastAsia="zh-CN"/>
              </w:rPr>
              <w:t>采</w:t>
            </w:r>
            <w:r>
              <w:rPr>
                <w:rFonts w:hint="eastAsia" w:cs="宋体"/>
                <w:spacing w:val="6"/>
                <w:sz w:val="21"/>
                <w:szCs w:val="21"/>
                <w:lang w:eastAsia="zh-CN"/>
              </w:rPr>
              <w:t>矿场地年度开采面积</w:t>
            </w:r>
            <w:r>
              <w:rPr>
                <w:rFonts w:hint="eastAsia" w:ascii="宋体" w:hAnsi="宋体" w:eastAsia="宋体" w:cs="宋体"/>
                <w:spacing w:val="1"/>
                <w:sz w:val="21"/>
                <w:szCs w:val="21"/>
                <w:lang w:eastAsia="zh-CN"/>
              </w:rPr>
              <w:t>平整</w:t>
            </w:r>
          </w:p>
        </w:tc>
        <w:tc>
          <w:tcPr>
            <w:tcW w:w="653" w:type="dxa"/>
            <w:vAlign w:val="center"/>
          </w:tcPr>
          <w:p w14:paraId="28BEA631">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1"/>
                <w:sz w:val="21"/>
                <w:szCs w:val="21"/>
                <w:lang w:eastAsia="zh-CN"/>
              </w:rPr>
              <w:t>m</w:t>
            </w:r>
            <w:r>
              <w:rPr>
                <w:rFonts w:hint="eastAsia" w:ascii="宋体" w:hAnsi="宋体" w:eastAsia="宋体" w:cs="宋体"/>
                <w:spacing w:val="1"/>
                <w:sz w:val="21"/>
                <w:szCs w:val="21"/>
                <w:vertAlign w:val="superscript"/>
                <w:lang w:eastAsia="zh-CN"/>
              </w:rPr>
              <w:t>3</w:t>
            </w:r>
          </w:p>
        </w:tc>
        <w:tc>
          <w:tcPr>
            <w:tcW w:w="881" w:type="dxa"/>
            <w:vAlign w:val="center"/>
          </w:tcPr>
          <w:p w14:paraId="42006B0E">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default" w:ascii="宋体" w:hAnsi="宋体" w:eastAsia="宋体" w:cs="宋体"/>
                <w:spacing w:val="1"/>
                <w:position w:val="1"/>
                <w:sz w:val="21"/>
                <w:szCs w:val="21"/>
                <w:lang w:val="en-US" w:eastAsia="zh-CN"/>
              </w:rPr>
            </w:pPr>
            <w:r>
              <w:rPr>
                <w:rFonts w:hint="eastAsia" w:cs="宋体"/>
                <w:position w:val="1"/>
                <w:sz w:val="21"/>
                <w:szCs w:val="21"/>
                <w:lang w:val="en-US" w:eastAsia="zh-CN"/>
              </w:rPr>
              <w:t>26600</w:t>
            </w:r>
          </w:p>
        </w:tc>
        <w:tc>
          <w:tcPr>
            <w:tcW w:w="738" w:type="dxa"/>
            <w:vAlign w:val="center"/>
          </w:tcPr>
          <w:p w14:paraId="17D33328">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pacing w:val="2"/>
                <w:position w:val="-3"/>
                <w:sz w:val="21"/>
                <w:szCs w:val="21"/>
              </w:rPr>
            </w:pPr>
            <w:r>
              <w:rPr>
                <w:rFonts w:hint="eastAsia" w:ascii="宋体" w:hAnsi="宋体" w:eastAsia="宋体" w:cs="宋体"/>
                <w:spacing w:val="2"/>
                <w:position w:val="-3"/>
                <w:sz w:val="21"/>
                <w:szCs w:val="21"/>
                <w:lang w:eastAsia="zh-CN"/>
              </w:rPr>
              <w:t>8.28</w:t>
            </w:r>
          </w:p>
        </w:tc>
        <w:tc>
          <w:tcPr>
            <w:tcW w:w="945" w:type="dxa"/>
            <w:shd w:val="clear" w:color="auto" w:fill="auto"/>
            <w:vAlign w:val="center"/>
          </w:tcPr>
          <w:p w14:paraId="71E87618">
            <w:pPr>
              <w:keepNext w:val="0"/>
              <w:keepLines w:val="0"/>
              <w:widowControl/>
              <w:suppressLineNumbers w:val="0"/>
              <w:jc w:val="center"/>
              <w:textAlignment w:val="bottom"/>
              <w:rPr>
                <w:rFonts w:hint="eastAsia" w:ascii="宋体" w:hAnsi="宋体" w:eastAsia="宋体" w:cs="宋体"/>
                <w:i w:val="0"/>
                <w:iCs w:val="0"/>
                <w:snapToGrid w:val="0"/>
                <w:color w:val="000000"/>
                <w:sz w:val="24"/>
                <w:szCs w:val="24"/>
                <w:u w:val="none"/>
                <w:lang w:val="en-US" w:eastAsia="en-US" w:bidi="ar-SA"/>
              </w:rPr>
            </w:pPr>
            <w:r>
              <w:rPr>
                <w:rFonts w:hint="eastAsia" w:ascii="宋体" w:hAnsi="宋体" w:eastAsia="宋体" w:cs="宋体"/>
                <w:snapToGrid w:val="0"/>
                <w:color w:val="000000"/>
                <w:position w:val="1"/>
                <w:sz w:val="21"/>
                <w:szCs w:val="21"/>
                <w:lang w:val="en-US" w:eastAsia="zh-CN" w:bidi="ar-SA"/>
              </w:rPr>
              <w:t>220200.8</w:t>
            </w:r>
          </w:p>
        </w:tc>
        <w:tc>
          <w:tcPr>
            <w:tcW w:w="560" w:type="dxa"/>
            <w:vMerge w:val="continue"/>
            <w:vAlign w:val="center"/>
          </w:tcPr>
          <w:p w14:paraId="0B5EE4C9">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r>
      <w:tr w14:paraId="73AF7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20" w:type="dxa"/>
            <w:vMerge w:val="restart"/>
            <w:vAlign w:val="center"/>
          </w:tcPr>
          <w:p w14:paraId="4ED59626">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3"/>
                <w:position w:val="1"/>
                <w:sz w:val="21"/>
                <w:szCs w:val="21"/>
              </w:rPr>
              <w:t>2026.12-</w:t>
            </w:r>
          </w:p>
          <w:p w14:paraId="72EE0FDC">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pacing w:val="3"/>
                <w:position w:val="1"/>
                <w:sz w:val="21"/>
                <w:szCs w:val="21"/>
              </w:rPr>
              <w:t>2027.</w:t>
            </w:r>
            <w:r>
              <w:rPr>
                <w:rFonts w:hint="eastAsia" w:cs="宋体"/>
                <w:spacing w:val="3"/>
                <w:position w:val="1"/>
                <w:sz w:val="21"/>
                <w:szCs w:val="21"/>
                <w:lang w:val="en-US" w:eastAsia="zh-CN"/>
              </w:rPr>
              <w:t>6</w:t>
            </w:r>
          </w:p>
        </w:tc>
        <w:tc>
          <w:tcPr>
            <w:tcW w:w="1627" w:type="dxa"/>
            <w:vAlign w:val="center"/>
          </w:tcPr>
          <w:p w14:paraId="31E365E1">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spacing w:val="8"/>
                <w:sz w:val="21"/>
                <w:szCs w:val="21"/>
                <w:lang w:eastAsia="zh-CN"/>
              </w:rPr>
              <w:t>已开挖形成的坡面</w:t>
            </w:r>
            <w:r>
              <w:rPr>
                <w:rFonts w:hint="eastAsia" w:ascii="宋体" w:hAnsi="宋体" w:eastAsia="宋体" w:cs="宋体"/>
                <w:spacing w:val="8"/>
                <w:sz w:val="21"/>
                <w:szCs w:val="21"/>
              </w:rPr>
              <w:t>清理</w:t>
            </w:r>
            <w:r>
              <w:rPr>
                <w:rFonts w:hint="eastAsia" w:cs="宋体"/>
                <w:spacing w:val="6"/>
                <w:sz w:val="21"/>
                <w:szCs w:val="21"/>
                <w:lang w:eastAsia="zh-CN"/>
              </w:rPr>
              <w:t>风成沙及坡积物清理</w:t>
            </w:r>
          </w:p>
        </w:tc>
        <w:tc>
          <w:tcPr>
            <w:tcW w:w="2018" w:type="dxa"/>
            <w:vAlign w:val="center"/>
          </w:tcPr>
          <w:p w14:paraId="7BC8456C">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pacing w:val="9"/>
                <w:sz w:val="21"/>
                <w:szCs w:val="21"/>
                <w:lang w:eastAsia="zh-CN"/>
              </w:rPr>
              <w:t>利用挖机和人工相结</w:t>
            </w:r>
          </w:p>
          <w:p w14:paraId="4D1C3486">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合</w:t>
            </w:r>
          </w:p>
        </w:tc>
        <w:tc>
          <w:tcPr>
            <w:tcW w:w="653" w:type="dxa"/>
            <w:vAlign w:val="center"/>
          </w:tcPr>
          <w:p w14:paraId="4E17CEEC">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1"/>
                <w:sz w:val="21"/>
                <w:szCs w:val="21"/>
                <w:lang w:eastAsia="zh-CN"/>
              </w:rPr>
              <w:t>m</w:t>
            </w:r>
            <w:r>
              <w:rPr>
                <w:rFonts w:hint="eastAsia" w:ascii="宋体" w:hAnsi="宋体" w:eastAsia="宋体" w:cs="宋体"/>
                <w:spacing w:val="1"/>
                <w:sz w:val="21"/>
                <w:szCs w:val="21"/>
                <w:vertAlign w:val="superscript"/>
                <w:lang w:eastAsia="zh-CN"/>
              </w:rPr>
              <w:t>3</w:t>
            </w:r>
          </w:p>
        </w:tc>
        <w:tc>
          <w:tcPr>
            <w:tcW w:w="881" w:type="dxa"/>
            <w:vAlign w:val="center"/>
          </w:tcPr>
          <w:p w14:paraId="026A1033">
            <w:pPr>
              <w:keepNext w:val="0"/>
              <w:keepLines w:val="0"/>
              <w:widowControl/>
              <w:suppressLineNumbers w:val="0"/>
              <w:jc w:val="center"/>
              <w:textAlignment w:val="bottom"/>
              <w:rPr>
                <w:rFonts w:hint="eastAsia" w:ascii="宋体" w:hAnsi="宋体" w:eastAsia="宋体" w:cs="宋体"/>
                <w:sz w:val="21"/>
                <w:szCs w:val="21"/>
              </w:rPr>
            </w:pPr>
            <w:r>
              <w:rPr>
                <w:rFonts w:hint="eastAsia" w:ascii="宋体" w:hAnsi="宋体" w:eastAsia="宋体" w:cs="宋体"/>
                <w:snapToGrid w:val="0"/>
                <w:color w:val="000000"/>
                <w:spacing w:val="3"/>
                <w:position w:val="1"/>
                <w:sz w:val="21"/>
                <w:szCs w:val="21"/>
                <w:lang w:val="en-US" w:eastAsia="zh-CN" w:bidi="ar-SA"/>
              </w:rPr>
              <w:t>1436.84</w:t>
            </w:r>
          </w:p>
        </w:tc>
        <w:tc>
          <w:tcPr>
            <w:tcW w:w="738" w:type="dxa"/>
            <w:vAlign w:val="center"/>
          </w:tcPr>
          <w:p w14:paraId="39FC2D8C">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default" w:ascii="宋体" w:hAnsi="宋体" w:eastAsia="宋体" w:cs="宋体"/>
                <w:sz w:val="21"/>
                <w:szCs w:val="21"/>
                <w:lang w:val="en-US" w:eastAsia="zh-CN"/>
              </w:rPr>
            </w:pPr>
            <w:r>
              <w:rPr>
                <w:rFonts w:hint="eastAsia" w:ascii="宋体" w:hAnsi="宋体" w:eastAsia="宋体" w:cs="宋体"/>
                <w:snapToGrid w:val="0"/>
                <w:color w:val="000000"/>
                <w:spacing w:val="3"/>
                <w:position w:val="1"/>
                <w:sz w:val="21"/>
                <w:szCs w:val="21"/>
                <w:lang w:val="en-US" w:eastAsia="zh-CN" w:bidi="ar-SA"/>
              </w:rPr>
              <w:t>34.70</w:t>
            </w:r>
          </w:p>
        </w:tc>
        <w:tc>
          <w:tcPr>
            <w:tcW w:w="945" w:type="dxa"/>
            <w:vAlign w:val="center"/>
          </w:tcPr>
          <w:p w14:paraId="1A6C3678">
            <w:pPr>
              <w:keepNext w:val="0"/>
              <w:keepLines w:val="0"/>
              <w:widowControl/>
              <w:suppressLineNumbers w:val="0"/>
              <w:jc w:val="center"/>
              <w:textAlignment w:val="bottom"/>
              <w:rPr>
                <w:rFonts w:hint="eastAsia" w:ascii="宋体" w:hAnsi="宋体" w:eastAsia="宋体" w:cs="宋体"/>
                <w:sz w:val="21"/>
                <w:szCs w:val="21"/>
                <w:lang w:eastAsia="zh-CN"/>
              </w:rPr>
            </w:pPr>
            <w:r>
              <w:rPr>
                <w:rFonts w:hint="eastAsia" w:ascii="宋体" w:hAnsi="宋体" w:eastAsia="宋体" w:cs="宋体"/>
                <w:snapToGrid w:val="0"/>
                <w:color w:val="000000"/>
                <w:spacing w:val="3"/>
                <w:position w:val="1"/>
                <w:sz w:val="21"/>
                <w:szCs w:val="21"/>
                <w:lang w:val="en-US" w:eastAsia="zh-CN" w:bidi="ar-SA"/>
              </w:rPr>
              <w:t>46280.6</w:t>
            </w:r>
          </w:p>
        </w:tc>
        <w:tc>
          <w:tcPr>
            <w:tcW w:w="560" w:type="dxa"/>
            <w:vMerge w:val="restart"/>
            <w:vAlign w:val="center"/>
          </w:tcPr>
          <w:p w14:paraId="44726592">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napToGrid w:val="0"/>
                <w:color w:val="000000"/>
                <w:position w:val="1"/>
                <w:sz w:val="21"/>
                <w:szCs w:val="21"/>
                <w:lang w:val="en-US" w:eastAsia="zh-CN" w:bidi="ar-SA"/>
              </w:rPr>
            </w:pPr>
          </w:p>
          <w:p w14:paraId="4AAC5B3A">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napToGrid w:val="0"/>
                <w:color w:val="000000"/>
                <w:position w:val="1"/>
                <w:sz w:val="21"/>
                <w:szCs w:val="21"/>
                <w:lang w:val="en-US" w:eastAsia="zh-CN" w:bidi="ar-SA"/>
              </w:rPr>
            </w:pPr>
          </w:p>
          <w:p w14:paraId="51A9C6F7">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napToGrid w:val="0"/>
                <w:color w:val="000000"/>
                <w:position w:val="1"/>
                <w:sz w:val="21"/>
                <w:szCs w:val="21"/>
                <w:lang w:val="en-US" w:eastAsia="zh-CN" w:bidi="ar-SA"/>
              </w:rPr>
            </w:pPr>
          </w:p>
          <w:p w14:paraId="2F2A8012">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napToGrid w:val="0"/>
                <w:color w:val="000000"/>
                <w:position w:val="1"/>
                <w:sz w:val="21"/>
                <w:szCs w:val="21"/>
                <w:lang w:val="en-US" w:eastAsia="zh-CN" w:bidi="ar-SA"/>
              </w:rPr>
            </w:pPr>
          </w:p>
          <w:p w14:paraId="0D2BBE9C">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napToGrid w:val="0"/>
                <w:color w:val="000000"/>
                <w:position w:val="1"/>
                <w:sz w:val="21"/>
                <w:szCs w:val="21"/>
                <w:lang w:val="en-US" w:eastAsia="zh-CN" w:bidi="ar-SA"/>
              </w:rPr>
            </w:pPr>
            <w:r>
              <w:rPr>
                <w:rFonts w:hint="eastAsia" w:ascii="宋体" w:hAnsi="宋体" w:eastAsia="宋体" w:cs="宋体"/>
                <w:snapToGrid w:val="0"/>
                <w:color w:val="000000"/>
                <w:position w:val="1"/>
                <w:sz w:val="21"/>
                <w:szCs w:val="21"/>
                <w:lang w:val="en-US" w:eastAsia="zh-CN" w:bidi="ar-SA"/>
              </w:rPr>
              <w:t>266481.41</w:t>
            </w:r>
          </w:p>
        </w:tc>
      </w:tr>
      <w:tr w14:paraId="21F3A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4" w:hRule="atLeast"/>
          <w:jc w:val="center"/>
        </w:trPr>
        <w:tc>
          <w:tcPr>
            <w:tcW w:w="1020" w:type="dxa"/>
            <w:vMerge w:val="continue"/>
            <w:vAlign w:val="center"/>
          </w:tcPr>
          <w:p w14:paraId="2CD89C41">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c>
          <w:tcPr>
            <w:tcW w:w="1627" w:type="dxa"/>
            <w:vAlign w:val="center"/>
          </w:tcPr>
          <w:p w14:paraId="0CEF3F42">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pacing w:val="8"/>
                <w:sz w:val="21"/>
                <w:szCs w:val="21"/>
                <w:lang w:eastAsia="zh-CN"/>
              </w:rPr>
              <w:t>土地资源与地形</w:t>
            </w:r>
            <w:r>
              <w:rPr>
                <w:rFonts w:hint="eastAsia" w:ascii="宋体" w:hAnsi="宋体" w:eastAsia="宋体" w:cs="宋体"/>
                <w:spacing w:val="7"/>
                <w:sz w:val="21"/>
                <w:szCs w:val="21"/>
                <w:lang w:eastAsia="zh-CN"/>
              </w:rPr>
              <w:t>地貌景观</w:t>
            </w:r>
          </w:p>
        </w:tc>
        <w:tc>
          <w:tcPr>
            <w:tcW w:w="2018" w:type="dxa"/>
            <w:vAlign w:val="center"/>
          </w:tcPr>
          <w:p w14:paraId="515A920E">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pacing w:val="6"/>
                <w:sz w:val="21"/>
                <w:szCs w:val="21"/>
                <w:lang w:eastAsia="zh-CN"/>
              </w:rPr>
              <w:t>土地损</w:t>
            </w:r>
            <w:r>
              <w:rPr>
                <w:rFonts w:hint="eastAsia" w:ascii="宋体" w:hAnsi="宋体" w:eastAsia="宋体" w:cs="宋体"/>
                <w:spacing w:val="8"/>
                <w:sz w:val="21"/>
                <w:szCs w:val="21"/>
                <w:lang w:eastAsia="zh-CN"/>
              </w:rPr>
              <w:t>毁和压占情况设计监</w:t>
            </w:r>
            <w:r>
              <w:rPr>
                <w:rFonts w:hint="eastAsia" w:ascii="宋体" w:hAnsi="宋体" w:eastAsia="宋体" w:cs="宋体"/>
                <w:sz w:val="21"/>
                <w:szCs w:val="21"/>
                <w:lang w:eastAsia="zh-CN"/>
              </w:rPr>
              <w:t>测点2处</w:t>
            </w:r>
          </w:p>
        </w:tc>
        <w:tc>
          <w:tcPr>
            <w:tcW w:w="653" w:type="dxa"/>
            <w:vAlign w:val="center"/>
          </w:tcPr>
          <w:p w14:paraId="1AA1FD14">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z w:val="21"/>
                <w:szCs w:val="21"/>
              </w:rPr>
              <w:t>次/点</w:t>
            </w:r>
          </w:p>
        </w:tc>
        <w:tc>
          <w:tcPr>
            <w:tcW w:w="881" w:type="dxa"/>
            <w:vAlign w:val="center"/>
          </w:tcPr>
          <w:p w14:paraId="5376A183">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cs="宋体"/>
                <w:position w:val="1"/>
                <w:sz w:val="21"/>
                <w:szCs w:val="21"/>
                <w:lang w:val="en-US" w:eastAsia="zh-CN"/>
              </w:rPr>
              <w:t>2</w:t>
            </w:r>
          </w:p>
        </w:tc>
        <w:tc>
          <w:tcPr>
            <w:tcW w:w="738" w:type="dxa"/>
            <w:vAlign w:val="center"/>
          </w:tcPr>
          <w:p w14:paraId="091EEFBE">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2"/>
                <w:position w:val="-3"/>
                <w:sz w:val="21"/>
                <w:szCs w:val="21"/>
              </w:rPr>
              <w:t>—</w:t>
            </w:r>
          </w:p>
        </w:tc>
        <w:tc>
          <w:tcPr>
            <w:tcW w:w="945" w:type="dxa"/>
            <w:vAlign w:val="center"/>
          </w:tcPr>
          <w:p w14:paraId="02DFF4A3">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2"/>
                <w:position w:val="-3"/>
                <w:sz w:val="21"/>
                <w:szCs w:val="21"/>
              </w:rPr>
              <w:t>—</w:t>
            </w:r>
          </w:p>
        </w:tc>
        <w:tc>
          <w:tcPr>
            <w:tcW w:w="560" w:type="dxa"/>
            <w:vMerge w:val="continue"/>
            <w:vAlign w:val="center"/>
          </w:tcPr>
          <w:p w14:paraId="64B8D5EC">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r>
      <w:tr w14:paraId="58AEA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atLeast"/>
          <w:jc w:val="center"/>
        </w:trPr>
        <w:tc>
          <w:tcPr>
            <w:tcW w:w="1020" w:type="dxa"/>
            <w:vMerge w:val="continue"/>
            <w:vAlign w:val="center"/>
          </w:tcPr>
          <w:p w14:paraId="1C6FE2B4">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c>
          <w:tcPr>
            <w:tcW w:w="1627" w:type="dxa"/>
            <w:vAlign w:val="center"/>
          </w:tcPr>
          <w:p w14:paraId="0B58E1FE">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8"/>
                <w:sz w:val="21"/>
                <w:szCs w:val="21"/>
              </w:rPr>
              <w:t>边坡稳定性监测</w:t>
            </w:r>
          </w:p>
        </w:tc>
        <w:tc>
          <w:tcPr>
            <w:tcW w:w="2018" w:type="dxa"/>
            <w:vAlign w:val="center"/>
          </w:tcPr>
          <w:p w14:paraId="6BE29581">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3"/>
                <w:sz w:val="21"/>
                <w:szCs w:val="21"/>
              </w:rPr>
              <w:t>2处</w:t>
            </w:r>
          </w:p>
        </w:tc>
        <w:tc>
          <w:tcPr>
            <w:tcW w:w="653" w:type="dxa"/>
            <w:vAlign w:val="center"/>
          </w:tcPr>
          <w:p w14:paraId="6E8E5399">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z w:val="21"/>
                <w:szCs w:val="21"/>
              </w:rPr>
              <w:t>次/点</w:t>
            </w:r>
          </w:p>
        </w:tc>
        <w:tc>
          <w:tcPr>
            <w:tcW w:w="881" w:type="dxa"/>
            <w:vAlign w:val="center"/>
          </w:tcPr>
          <w:p w14:paraId="6529F769">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default" w:ascii="宋体" w:hAnsi="宋体" w:eastAsia="宋体" w:cs="宋体"/>
                <w:sz w:val="21"/>
                <w:szCs w:val="21"/>
                <w:lang w:val="en-US" w:eastAsia="zh-CN"/>
              </w:rPr>
            </w:pPr>
            <w:r>
              <w:rPr>
                <w:rFonts w:hint="eastAsia" w:cs="宋体"/>
                <w:spacing w:val="1"/>
                <w:position w:val="1"/>
                <w:sz w:val="21"/>
                <w:szCs w:val="21"/>
                <w:lang w:val="en-US" w:eastAsia="zh-CN"/>
              </w:rPr>
              <w:t>12</w:t>
            </w:r>
          </w:p>
        </w:tc>
        <w:tc>
          <w:tcPr>
            <w:tcW w:w="738" w:type="dxa"/>
            <w:vAlign w:val="center"/>
          </w:tcPr>
          <w:p w14:paraId="16056777">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2"/>
                <w:position w:val="-3"/>
                <w:sz w:val="21"/>
                <w:szCs w:val="21"/>
              </w:rPr>
              <w:t>—</w:t>
            </w:r>
          </w:p>
        </w:tc>
        <w:tc>
          <w:tcPr>
            <w:tcW w:w="945" w:type="dxa"/>
            <w:vAlign w:val="center"/>
          </w:tcPr>
          <w:p w14:paraId="685EFE6B">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2"/>
                <w:position w:val="-3"/>
                <w:sz w:val="21"/>
                <w:szCs w:val="21"/>
              </w:rPr>
              <w:t>—</w:t>
            </w:r>
          </w:p>
        </w:tc>
        <w:tc>
          <w:tcPr>
            <w:tcW w:w="560" w:type="dxa"/>
            <w:vMerge w:val="continue"/>
            <w:vAlign w:val="center"/>
          </w:tcPr>
          <w:p w14:paraId="1F5345EF">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r>
      <w:tr w14:paraId="003D0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atLeast"/>
          <w:jc w:val="center"/>
        </w:trPr>
        <w:tc>
          <w:tcPr>
            <w:tcW w:w="1020" w:type="dxa"/>
            <w:vMerge w:val="continue"/>
            <w:vAlign w:val="center"/>
          </w:tcPr>
          <w:p w14:paraId="403D3322">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c>
          <w:tcPr>
            <w:tcW w:w="1627" w:type="dxa"/>
            <w:vAlign w:val="center"/>
          </w:tcPr>
          <w:p w14:paraId="06DF663D">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pacing w:val="8"/>
                <w:sz w:val="21"/>
                <w:szCs w:val="21"/>
              </w:rPr>
            </w:pPr>
            <w:r>
              <w:rPr>
                <w:rFonts w:hint="eastAsia" w:ascii="宋体" w:hAnsi="宋体" w:eastAsia="宋体" w:cs="宋体"/>
                <w:spacing w:val="8"/>
                <w:sz w:val="21"/>
                <w:szCs w:val="21"/>
                <w:lang w:eastAsia="zh-CN"/>
              </w:rPr>
              <w:t>平整工程</w:t>
            </w:r>
          </w:p>
        </w:tc>
        <w:tc>
          <w:tcPr>
            <w:tcW w:w="2018" w:type="dxa"/>
            <w:vAlign w:val="center"/>
          </w:tcPr>
          <w:p w14:paraId="4361DF31">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pacing w:val="-3"/>
                <w:sz w:val="21"/>
                <w:szCs w:val="21"/>
                <w:lang w:eastAsia="zh-CN"/>
              </w:rPr>
            </w:pPr>
            <w:r>
              <w:rPr>
                <w:rFonts w:hint="eastAsia" w:ascii="宋体" w:hAnsi="宋体" w:eastAsia="宋体" w:cs="宋体"/>
                <w:spacing w:val="6"/>
                <w:sz w:val="21"/>
                <w:szCs w:val="21"/>
                <w:lang w:eastAsia="zh-CN"/>
              </w:rPr>
              <w:t>采</w:t>
            </w:r>
            <w:r>
              <w:rPr>
                <w:rFonts w:hint="eastAsia" w:cs="宋体"/>
                <w:spacing w:val="6"/>
                <w:sz w:val="21"/>
                <w:szCs w:val="21"/>
                <w:lang w:eastAsia="zh-CN"/>
              </w:rPr>
              <w:t>矿场地年度开采面积</w:t>
            </w:r>
            <w:r>
              <w:rPr>
                <w:rFonts w:hint="eastAsia" w:ascii="宋体" w:hAnsi="宋体" w:eastAsia="宋体" w:cs="宋体"/>
                <w:spacing w:val="1"/>
                <w:sz w:val="21"/>
                <w:szCs w:val="21"/>
                <w:lang w:eastAsia="zh-CN"/>
              </w:rPr>
              <w:t>平整</w:t>
            </w:r>
          </w:p>
        </w:tc>
        <w:tc>
          <w:tcPr>
            <w:tcW w:w="653" w:type="dxa"/>
            <w:vAlign w:val="center"/>
          </w:tcPr>
          <w:p w14:paraId="1CBC3B03">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1"/>
                <w:sz w:val="21"/>
                <w:szCs w:val="21"/>
                <w:lang w:eastAsia="zh-CN"/>
              </w:rPr>
              <w:t>m</w:t>
            </w:r>
            <w:r>
              <w:rPr>
                <w:rFonts w:hint="eastAsia" w:ascii="宋体" w:hAnsi="宋体" w:eastAsia="宋体" w:cs="宋体"/>
                <w:spacing w:val="1"/>
                <w:sz w:val="21"/>
                <w:szCs w:val="21"/>
                <w:vertAlign w:val="superscript"/>
                <w:lang w:eastAsia="zh-CN"/>
              </w:rPr>
              <w:t>3</w:t>
            </w:r>
          </w:p>
        </w:tc>
        <w:tc>
          <w:tcPr>
            <w:tcW w:w="881" w:type="dxa"/>
            <w:vAlign w:val="center"/>
          </w:tcPr>
          <w:p w14:paraId="7C309E41">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pacing w:val="1"/>
                <w:position w:val="1"/>
                <w:sz w:val="21"/>
                <w:szCs w:val="21"/>
              </w:rPr>
            </w:pPr>
            <w:r>
              <w:rPr>
                <w:rFonts w:hint="eastAsia" w:cs="宋体"/>
                <w:position w:val="1"/>
                <w:sz w:val="21"/>
                <w:szCs w:val="21"/>
                <w:lang w:val="en-US" w:eastAsia="zh-CN"/>
              </w:rPr>
              <w:t>26600</w:t>
            </w:r>
          </w:p>
        </w:tc>
        <w:tc>
          <w:tcPr>
            <w:tcW w:w="738" w:type="dxa"/>
            <w:vAlign w:val="center"/>
          </w:tcPr>
          <w:p w14:paraId="70341E58">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pacing w:val="2"/>
                <w:position w:val="-3"/>
                <w:sz w:val="21"/>
                <w:szCs w:val="21"/>
              </w:rPr>
            </w:pPr>
            <w:r>
              <w:rPr>
                <w:rFonts w:hint="eastAsia" w:ascii="宋体" w:hAnsi="宋体" w:eastAsia="宋体" w:cs="宋体"/>
                <w:spacing w:val="2"/>
                <w:position w:val="-3"/>
                <w:sz w:val="21"/>
                <w:szCs w:val="21"/>
                <w:lang w:eastAsia="zh-CN"/>
              </w:rPr>
              <w:t>8.28</w:t>
            </w:r>
          </w:p>
        </w:tc>
        <w:tc>
          <w:tcPr>
            <w:tcW w:w="945" w:type="dxa"/>
            <w:vAlign w:val="center"/>
          </w:tcPr>
          <w:p w14:paraId="1A7D0431">
            <w:pPr>
              <w:keepNext w:val="0"/>
              <w:keepLines w:val="0"/>
              <w:widowControl/>
              <w:suppressLineNumbers w:val="0"/>
              <w:jc w:val="center"/>
              <w:textAlignment w:val="bottom"/>
              <w:rPr>
                <w:rFonts w:hint="eastAsia" w:ascii="宋体" w:hAnsi="宋体" w:eastAsia="宋体" w:cs="宋体"/>
                <w:spacing w:val="2"/>
                <w:position w:val="-3"/>
                <w:sz w:val="21"/>
                <w:szCs w:val="21"/>
                <w:lang w:eastAsia="zh-CN"/>
              </w:rPr>
            </w:pPr>
            <w:r>
              <w:rPr>
                <w:rFonts w:hint="eastAsia" w:ascii="宋体" w:hAnsi="宋体" w:eastAsia="宋体" w:cs="宋体"/>
                <w:snapToGrid w:val="0"/>
                <w:color w:val="000000"/>
                <w:position w:val="1"/>
                <w:sz w:val="21"/>
                <w:szCs w:val="21"/>
                <w:lang w:val="en-US" w:eastAsia="zh-CN" w:bidi="ar-SA"/>
              </w:rPr>
              <w:t>220200.8</w:t>
            </w:r>
          </w:p>
        </w:tc>
        <w:tc>
          <w:tcPr>
            <w:tcW w:w="560" w:type="dxa"/>
            <w:vMerge w:val="continue"/>
            <w:vAlign w:val="center"/>
          </w:tcPr>
          <w:p w14:paraId="491686C5">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r>
      <w:tr w14:paraId="25D4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1020" w:type="dxa"/>
            <w:vAlign w:val="center"/>
          </w:tcPr>
          <w:p w14:paraId="64861776">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c>
          <w:tcPr>
            <w:tcW w:w="1627" w:type="dxa"/>
            <w:vAlign w:val="center"/>
          </w:tcPr>
          <w:p w14:paraId="073EFFCF">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r>
              <w:rPr>
                <w:rFonts w:hint="eastAsia" w:ascii="宋体" w:hAnsi="宋体" w:eastAsia="宋体" w:cs="宋体"/>
                <w:spacing w:val="4"/>
                <w:sz w:val="21"/>
                <w:szCs w:val="21"/>
              </w:rPr>
              <w:t>合计</w:t>
            </w:r>
          </w:p>
        </w:tc>
        <w:tc>
          <w:tcPr>
            <w:tcW w:w="2018" w:type="dxa"/>
            <w:vAlign w:val="center"/>
          </w:tcPr>
          <w:p w14:paraId="16E857EE">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c>
          <w:tcPr>
            <w:tcW w:w="653" w:type="dxa"/>
            <w:vAlign w:val="center"/>
          </w:tcPr>
          <w:p w14:paraId="6A8213FC">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c>
          <w:tcPr>
            <w:tcW w:w="881" w:type="dxa"/>
            <w:vAlign w:val="center"/>
          </w:tcPr>
          <w:p w14:paraId="1B45922D">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c>
          <w:tcPr>
            <w:tcW w:w="738" w:type="dxa"/>
            <w:vAlign w:val="center"/>
          </w:tcPr>
          <w:p w14:paraId="570583D7">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c>
          <w:tcPr>
            <w:tcW w:w="945" w:type="dxa"/>
            <w:vAlign w:val="center"/>
          </w:tcPr>
          <w:p w14:paraId="099FB17D">
            <w:pPr>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rPr>
            </w:pPr>
          </w:p>
        </w:tc>
        <w:tc>
          <w:tcPr>
            <w:tcW w:w="560" w:type="dxa"/>
            <w:shd w:val="clear" w:color="auto" w:fill="auto"/>
            <w:vAlign w:val="bottom"/>
          </w:tcPr>
          <w:p w14:paraId="4E68CED8">
            <w:pPr>
              <w:keepNext w:val="0"/>
              <w:keepLines w:val="0"/>
              <w:widowControl/>
              <w:suppressLineNumbers w:val="0"/>
              <w:jc w:val="center"/>
              <w:textAlignment w:val="bottom"/>
              <w:rPr>
                <w:rFonts w:hint="default" w:ascii="宋体" w:hAnsi="宋体" w:eastAsia="宋体" w:cs="宋体"/>
                <w:snapToGrid w:val="0"/>
                <w:color w:val="000000"/>
                <w:spacing w:val="3"/>
                <w:position w:val="1"/>
                <w:sz w:val="21"/>
                <w:szCs w:val="21"/>
                <w:lang w:val="en-US" w:eastAsia="zh-CN" w:bidi="ar-SA"/>
              </w:rPr>
            </w:pPr>
            <w:r>
              <w:rPr>
                <w:rFonts w:hint="eastAsia" w:ascii="宋体" w:hAnsi="宋体" w:eastAsia="宋体" w:cs="宋体"/>
                <w:snapToGrid w:val="0"/>
                <w:color w:val="000000"/>
                <w:spacing w:val="3"/>
                <w:position w:val="1"/>
                <w:sz w:val="21"/>
                <w:szCs w:val="21"/>
                <w:lang w:val="en-US" w:eastAsia="zh-CN" w:bidi="ar-SA"/>
              </w:rPr>
              <w:t>532962.82</w:t>
            </w:r>
          </w:p>
        </w:tc>
      </w:tr>
      <w:tr w14:paraId="73868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9" w:hRule="atLeast"/>
          <w:jc w:val="center"/>
        </w:trPr>
        <w:tc>
          <w:tcPr>
            <w:tcW w:w="8442" w:type="dxa"/>
            <w:gridSpan w:val="8"/>
            <w:vAlign w:val="center"/>
          </w:tcPr>
          <w:p w14:paraId="51BA4F71">
            <w:pPr>
              <w:pStyle w:val="23"/>
              <w:keepNext w:val="0"/>
              <w:keepLines w:val="0"/>
              <w:pageBreakBefore w:val="0"/>
              <w:widowControl w:val="0"/>
              <w:kinsoku/>
              <w:wordWrap/>
              <w:overflowPunct/>
              <w:topLinePunct w:val="0"/>
              <w:autoSpaceDE w:val="0"/>
              <w:autoSpaceDN w:val="0"/>
              <w:bidi w:val="0"/>
              <w:adjustRightInd/>
              <w:snapToGrid/>
              <w:jc w:val="center"/>
              <w:textAlignment w:val="baseline"/>
              <w:rPr>
                <w:rFonts w:hint="eastAsia" w:ascii="宋体" w:hAnsi="宋体" w:eastAsia="宋体" w:cs="宋体"/>
                <w:sz w:val="21"/>
                <w:szCs w:val="21"/>
                <w:lang w:eastAsia="zh-CN"/>
              </w:rPr>
            </w:pPr>
            <w:r>
              <w:rPr>
                <w:rFonts w:hint="eastAsia" w:ascii="宋体" w:hAnsi="宋体" w:eastAsia="宋体" w:cs="宋体"/>
                <w:spacing w:val="9"/>
                <w:sz w:val="21"/>
                <w:szCs w:val="21"/>
                <w:lang w:eastAsia="zh-CN"/>
              </w:rPr>
              <w:t>注：监测费用均纳入生产成本</w:t>
            </w:r>
          </w:p>
        </w:tc>
      </w:tr>
    </w:tbl>
    <w:p w14:paraId="77D44FAD">
      <w:pPr>
        <w:pStyle w:val="6"/>
        <w:rPr>
          <w:lang w:eastAsia="zh-CN"/>
        </w:rPr>
      </w:pPr>
    </w:p>
    <w:p w14:paraId="42A6B97D">
      <w:pPr>
        <w:rPr>
          <w:lang w:eastAsia="zh-CN"/>
        </w:rPr>
        <w:sectPr>
          <w:footerReference r:id="rId8" w:type="default"/>
          <w:pgSz w:w="11905" w:h="16839"/>
          <w:pgMar w:top="1440" w:right="1800" w:bottom="1440" w:left="1800" w:header="680" w:footer="850" w:gutter="0"/>
          <w:cols w:space="720" w:num="1"/>
        </w:sectPr>
      </w:pPr>
    </w:p>
    <w:p w14:paraId="1126B87F">
      <w:pPr>
        <w:pStyle w:val="2"/>
        <w:keepNext w:val="0"/>
        <w:keepLines w:val="0"/>
        <w:widowControl w:val="0"/>
        <w:kinsoku/>
        <w:spacing w:before="0" w:after="0" w:line="360" w:lineRule="auto"/>
        <w:jc w:val="center"/>
        <w:rPr>
          <w:rFonts w:hint="eastAsia" w:ascii="黑体" w:hAnsi="黑体" w:eastAsia="黑体" w:cs="黑体"/>
          <w:b w:val="0"/>
          <w:bCs/>
          <w:sz w:val="32"/>
          <w:szCs w:val="32"/>
          <w:lang w:eastAsia="zh-CN"/>
        </w:rPr>
      </w:pPr>
      <w:bookmarkStart w:id="295" w:name="bookmark209"/>
      <w:bookmarkEnd w:id="295"/>
      <w:bookmarkStart w:id="296" w:name="bookmark208"/>
      <w:bookmarkEnd w:id="296"/>
      <w:bookmarkStart w:id="297" w:name="_Toc3315"/>
      <w:r>
        <w:rPr>
          <w:rFonts w:hint="eastAsia" w:ascii="黑体" w:hAnsi="黑体" w:eastAsia="黑体" w:cs="黑体"/>
          <w:b w:val="0"/>
          <w:bCs/>
          <w:sz w:val="32"/>
          <w:szCs w:val="32"/>
          <w:lang w:eastAsia="zh-CN"/>
        </w:rPr>
        <w:t>第七章  保障措施与公众参与</w:t>
      </w:r>
      <w:bookmarkEnd w:id="297"/>
    </w:p>
    <w:p w14:paraId="15808993">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根据“谁破坏，谁治理”的原则，矿山环境治理工程，由矿山企业负责落实，当地环保、自然资源等相关主管部门可监督执行。为了使该项工作能科学严谨，顺利进行，有必要采取多种措施，全面配合。增强法律意识，制定企业内部环保制度；实施切有实效的矿区生态修复工程方案和措施；落实基本到位的资金保障措施。</w:t>
      </w:r>
    </w:p>
    <w:p w14:paraId="7F2A9108">
      <w:pPr>
        <w:pStyle w:val="3"/>
        <w:keepNext w:val="0"/>
        <w:keepLines w:val="0"/>
        <w:widowControl w:val="0"/>
        <w:adjustRightInd/>
        <w:snapToGrid/>
        <w:spacing w:before="0" w:after="0" w:line="360" w:lineRule="auto"/>
        <w:rPr>
          <w:b w:val="0"/>
          <w:bCs/>
          <w:lang w:eastAsia="zh-CN"/>
        </w:rPr>
      </w:pPr>
      <w:bookmarkStart w:id="298" w:name="bookmark211"/>
      <w:bookmarkEnd w:id="298"/>
      <w:bookmarkStart w:id="299" w:name="bookmark210"/>
      <w:bookmarkEnd w:id="299"/>
      <w:bookmarkStart w:id="300" w:name="_Toc30159"/>
      <w:r>
        <w:rPr>
          <w:rFonts w:hint="eastAsia"/>
          <w:b w:val="0"/>
          <w:bCs/>
          <w:lang w:eastAsia="zh-CN"/>
        </w:rPr>
        <w:t>一、保证措施</w:t>
      </w:r>
      <w:bookmarkEnd w:id="300"/>
    </w:p>
    <w:p w14:paraId="1F0AEECC">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301" w:name="_Toc9205"/>
      <w:r>
        <w:rPr>
          <w:rFonts w:hint="eastAsia" w:ascii="宋体" w:hAnsi="宋体" w:eastAsia="宋体" w:cs="宋体"/>
          <w:sz w:val="28"/>
          <w:szCs w:val="28"/>
          <w:lang w:eastAsia="zh-CN"/>
        </w:rPr>
        <w:t>（一）组织保障</w:t>
      </w:r>
      <w:bookmarkEnd w:id="301"/>
    </w:p>
    <w:p w14:paraId="0177CA93">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在矿山生产的同时，严格控制矿产资源开发对矿山地质环境的扰动和破坏，最大限度地减少或避免矿山地质环境问题的发生，改善和提高矿山及附近的生产生存环境质量。其具体目标是：</w:t>
      </w:r>
    </w:p>
    <w:p w14:paraId="6BA3214C">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⑴保护矿山地质环境不受破坏，避免引发地质灾害的发生；</w:t>
      </w:r>
    </w:p>
    <w:p w14:paraId="6C414DC7">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⑵保护矿区内土地资源不被破坏；</w:t>
      </w:r>
    </w:p>
    <w:p w14:paraId="2051C9B3">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⑶保护矿区内地形地貌景观不被破坏。</w:t>
      </w:r>
    </w:p>
    <w:p w14:paraId="7CB39BFC">
      <w:pPr>
        <w:kinsoku/>
        <w:adjustRightInd/>
        <w:snapToGrid/>
        <w:spacing w:line="360" w:lineRule="auto"/>
        <w:ind w:firstLine="576" w:firstLineChars="200"/>
        <w:jc w:val="both"/>
        <w:rPr>
          <w:rFonts w:hint="eastAsia" w:ascii="宋体" w:hAnsi="宋体" w:eastAsia="宋体" w:cs="宋体"/>
          <w:spacing w:val="4"/>
          <w:sz w:val="28"/>
          <w:szCs w:val="28"/>
          <w:lang w:eastAsia="zh-CN"/>
        </w:rPr>
      </w:pPr>
      <w:bookmarkStart w:id="302" w:name="bookmark213"/>
      <w:bookmarkEnd w:id="302"/>
      <w:bookmarkStart w:id="303" w:name="bookmark212"/>
      <w:bookmarkEnd w:id="303"/>
      <w:bookmarkStart w:id="304" w:name="_Toc31919"/>
      <w:r>
        <w:rPr>
          <w:rFonts w:hint="eastAsia" w:ascii="宋体" w:hAnsi="宋体" w:eastAsia="宋体" w:cs="宋体"/>
          <w:spacing w:val="4"/>
          <w:sz w:val="28"/>
          <w:szCs w:val="28"/>
          <w:lang w:eastAsia="zh-CN"/>
        </w:rPr>
        <w:t>1、组织管理</w:t>
      </w:r>
      <w:bookmarkEnd w:id="304"/>
    </w:p>
    <w:p w14:paraId="11740916">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⑴施工前由设计单位代表在实地对参与施工的管理人员、技术人员和施工单位进行一次设计交底，使参与施工的人员对施工设计有一个较详细的了解，做到心中有数。</w:t>
      </w:r>
    </w:p>
    <w:p w14:paraId="2B8D5242">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⑵施工单位要认真贯彻执行已批复的设计方案，安排好施工任务，保证工作量、工程进度、劳动效率及质量、安全，保证正常的施工秩序，工程施工总进度计划进行，及时向项目领导小组汇报当月的施工情况。</w:t>
      </w:r>
    </w:p>
    <w:p w14:paraId="67996978">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⑶定期检查施工任务的完成情况，施工单位负责人每天检查当天的任务完成情况，并及时填写施工报表。</w:t>
      </w:r>
    </w:p>
    <w:p w14:paraId="037002FB">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⑷施工单位要做好统计工作，统计内容包括人员工资统计、材料的供应、品种、数量等统计，流动资金数额、利润分析等，工程进度统计、完成工作量统计、质量安全统计等。项目开工至竣工，要求认真、准确、完整的记录施工过程中以技术为主的有关事宜。</w:t>
      </w:r>
    </w:p>
    <w:p w14:paraId="7B2EF740">
      <w:pPr>
        <w:kinsoku/>
        <w:adjustRightInd/>
        <w:snapToGrid/>
        <w:spacing w:line="360" w:lineRule="auto"/>
        <w:ind w:firstLine="576" w:firstLineChars="200"/>
        <w:jc w:val="both"/>
        <w:rPr>
          <w:rFonts w:hint="eastAsia" w:ascii="宋体" w:hAnsi="宋体" w:eastAsia="宋体" w:cs="宋体"/>
          <w:spacing w:val="4"/>
          <w:sz w:val="28"/>
          <w:szCs w:val="28"/>
          <w:lang w:eastAsia="zh-CN"/>
        </w:rPr>
      </w:pPr>
      <w:bookmarkStart w:id="305" w:name="bookmark214"/>
      <w:bookmarkEnd w:id="305"/>
      <w:bookmarkStart w:id="306" w:name="bookmark215"/>
      <w:bookmarkEnd w:id="306"/>
      <w:bookmarkStart w:id="307" w:name="_Toc8955"/>
      <w:r>
        <w:rPr>
          <w:rFonts w:hint="eastAsia" w:ascii="宋体" w:hAnsi="宋体" w:eastAsia="宋体" w:cs="宋体"/>
          <w:spacing w:val="4"/>
          <w:sz w:val="28"/>
          <w:szCs w:val="28"/>
          <w:lang w:eastAsia="zh-CN"/>
        </w:rPr>
        <w:t>2、保障措施</w:t>
      </w:r>
      <w:bookmarkEnd w:id="307"/>
    </w:p>
    <w:p w14:paraId="53D04890">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⑴质量保障措施</w:t>
      </w:r>
    </w:p>
    <w:p w14:paraId="787C8EF5">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在今后的采矿生产过程中，严格按设计施工，严格执行行业作业标准，并成立环境治理小组，组长由企业主要负责人担任，组员由管理人员及技术人员组成，严格按矿山地质环境保护与治理恢复方案进行矿山地质环境治理，预防灾害事故的发生，改善美化矿区地质环境，减少采矿对地质环境的破坏。</w:t>
      </w:r>
    </w:p>
    <w:p w14:paraId="5D853441">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定期对地质灾害隐患点巡测，发现问题及时上报主要负责人及行政主管部门，及时采取措施，避免人员伤害及财产损失。</w:t>
      </w:r>
    </w:p>
    <w:p w14:paraId="5A328724">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⑵进度保障措施</w:t>
      </w:r>
    </w:p>
    <w:p w14:paraId="5F774EA3">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企业按方案中的各项治理措施必须安进度实施，必须按核定时间完成治理，并计划每年5月和6月为地质环境集中治理月，使矿山的环境保护治理达到检查和验收的标准。</w:t>
      </w:r>
    </w:p>
    <w:p w14:paraId="7F10A5E4">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接受自然资源行政管理部门定期到矿区进行实地考察、监督及对矿山环境地质灾害的治理、恢复措施的有效性及进展情况的检查，对查出的问题及时整顿、纠正。</w:t>
      </w:r>
    </w:p>
    <w:p w14:paraId="3CB9247F">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308" w:name="bookmark216"/>
      <w:bookmarkEnd w:id="308"/>
      <w:bookmarkStart w:id="309" w:name="bookmark217"/>
      <w:bookmarkEnd w:id="309"/>
      <w:bookmarkStart w:id="310" w:name="_Toc6212"/>
      <w:r>
        <w:rPr>
          <w:rFonts w:hint="eastAsia" w:ascii="宋体" w:hAnsi="宋体" w:eastAsia="宋体" w:cs="宋体"/>
          <w:sz w:val="28"/>
          <w:szCs w:val="28"/>
          <w:lang w:eastAsia="zh-CN"/>
        </w:rPr>
        <w:t>（二）技术保障</w:t>
      </w:r>
      <w:bookmarkEnd w:id="310"/>
    </w:p>
    <w:p w14:paraId="25BA01F7">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在开展生态修复前，由矿山企业委托相关单位制定修复方案，并从格尔木市自然资源、林业、农业、水利环保、应急等部门聘请有关专业技术人员组成评审小组。</w:t>
      </w:r>
    </w:p>
    <w:p w14:paraId="6BEA34CC">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生态修复方案实施的过程需要具有生态修复专业知识的技术人员，确保工程施工的质量及标准，此外还需要加强有关专业人员的业务培训工作，对于生态修复的工程及植物措施的实施都需要有专业人员亲临现场，同时接受政府主管部门的监督检查。修复完成后仍需要加强监护工作，保障修复工作的成效。</w:t>
      </w:r>
    </w:p>
    <w:p w14:paraId="12F86EAC">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此外，方案编制的过程中广泛吸取各地先进修复经验和技术，结合项目区的实际情况，在土地平整、植物选择、管护技术等多方面提出适合当地实际情况的方案措施，为本项目生态修复方案的实施奠定技术基础。</w:t>
      </w:r>
    </w:p>
    <w:p w14:paraId="5FBA7A00">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在对矿山地质环境做出现状评估、预测评估的基础上编制，编制依据充分，经过公司审查后，技术方案得到反复论证，治理措施符合实际情况，技术可行。</w:t>
      </w:r>
    </w:p>
    <w:p w14:paraId="0FE730B6">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311" w:name="_Toc21565"/>
      <w:r>
        <w:rPr>
          <w:rFonts w:hint="eastAsia" w:ascii="宋体" w:hAnsi="宋体" w:eastAsia="宋体" w:cs="宋体"/>
          <w:sz w:val="28"/>
          <w:szCs w:val="28"/>
          <w:lang w:eastAsia="zh-CN"/>
        </w:rPr>
        <w:t>（三）资金保障</w:t>
      </w:r>
      <w:bookmarkEnd w:id="311"/>
    </w:p>
    <w:p w14:paraId="3344805F">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青海省财政厅、青海省自然资源厅、青海省环境保护局下发的《关于印发〈青海省取消矿山地质环境治理恢复保证金，建立矿山地质环境治理恢复基金管理办法〉的通知》（青财建字[2018]961号）文件，明确规定了矿山地质环境治理恢复监管办法，凡在青海省境内从事矿产资源开采活动的采矿权人，均需按照本办法规定，建立矿山环境治理恢复基金，专项用于矿山环境地质治理。</w:t>
      </w:r>
    </w:p>
    <w:p w14:paraId="65FD9693">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青海省取消矿山地质环境治理恢复保证金，建立矿山地质环境治理恢复基金管理办法》的通知（青财建字[2018]961号），为矿山地质环境治理恢复工作提供了强有力的经济保证。由格尔木昆鹏能源开发建设有限公司在其银行账户中设立矿山环境治理恢复基金账户，单独反映基金存取情况。</w:t>
      </w:r>
    </w:p>
    <w:p w14:paraId="4C866BFB">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将矿山地质环境恢复治理费用按照企业会计准则相关规定预计弃置费用，计入相关资产的入账成本，在预计开采年限内按照产量比例等方法摊销，并计入生产成本。同时实行财务专项管理制度，建立健全项目财务专项管理制度，严格执行国家有关管理规定，实行专款专用，单独核算，严禁挪作他用。</w:t>
      </w:r>
    </w:p>
    <w:p w14:paraId="5BE94935">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312" w:name="bookmark221"/>
      <w:bookmarkEnd w:id="312"/>
      <w:bookmarkStart w:id="313" w:name="bookmark220"/>
      <w:bookmarkEnd w:id="313"/>
      <w:bookmarkStart w:id="314" w:name="_Toc22035"/>
      <w:r>
        <w:rPr>
          <w:rFonts w:hint="eastAsia" w:ascii="宋体" w:hAnsi="宋体" w:eastAsia="宋体" w:cs="宋体"/>
          <w:sz w:val="28"/>
          <w:szCs w:val="28"/>
          <w:lang w:eastAsia="zh-CN"/>
        </w:rPr>
        <w:t>（四）监管保障</w:t>
      </w:r>
      <w:bookmarkEnd w:id="314"/>
    </w:p>
    <w:p w14:paraId="1FAA6BF8">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本方案经批准后具有法律强制性，不得擅自变更。后期方案有重大变更的，业主需向自然资源主管部门申请，自然资源主管部门有权依法本方案实施情况进行监督管理。业主应强化施工管理，严格按照方案要求进行自查，并主动与自然资源主管部门取得联系，加强与自然资源主管部门合作，自觉接受自然资源主管部门的监督管理。</w:t>
      </w:r>
    </w:p>
    <w:p w14:paraId="67FCCA47">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为保障自然资源主管部门实施监管工作，业主应当根据矿区生态修复方案、编制并实施阶段矿区生态修复计划和年度矿区生态修复实施计划，定期向自然资源主管部门报告当年进度情况，接受自然资源主管部门对方案实施情况的监督检查，接受社会对方案实施情况监督。</w:t>
      </w:r>
    </w:p>
    <w:p w14:paraId="67E9070B">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自然资源主管部门在监管中发现矿区生态修复义务人不履行义务的，按照法律法规和政策文件的规定，矿区生态修复义务人应自觉接受自然资源主管部门及有关部门处罚。</w:t>
      </w:r>
    </w:p>
    <w:p w14:paraId="71C0177F">
      <w:pPr>
        <w:pStyle w:val="3"/>
        <w:keepNext w:val="0"/>
        <w:keepLines w:val="0"/>
        <w:widowControl w:val="0"/>
        <w:adjustRightInd/>
        <w:snapToGrid/>
        <w:spacing w:before="0" w:after="0" w:line="360" w:lineRule="auto"/>
        <w:rPr>
          <w:b w:val="0"/>
          <w:bCs/>
          <w:lang w:eastAsia="zh-CN"/>
        </w:rPr>
      </w:pPr>
      <w:bookmarkStart w:id="315" w:name="_Toc28162"/>
      <w:r>
        <w:rPr>
          <w:rFonts w:hint="eastAsia"/>
          <w:b w:val="0"/>
          <w:bCs/>
          <w:lang w:eastAsia="zh-CN"/>
        </w:rPr>
        <w:t>二、公众参与</w:t>
      </w:r>
      <w:bookmarkEnd w:id="315"/>
    </w:p>
    <w:p w14:paraId="71524F8E">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生态修复的公众参与是提高生态修复透明度、加强民主监督的一项重要管理措施，对提高生态修复实施效果有重要意义。生态修复方案的编制、实施过程中均应尊重当地民族风情，协调好与各族群众的关系。</w:t>
      </w:r>
    </w:p>
    <w:p w14:paraId="7DC2F47E">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为做好生态修复方案的编制工作，确保本生态修复方案符合当地的实际情况，具有实用性和可操作性，在本生态修复方案的编制过程中开展了公众参与活动。本项目的公众参与包括三个阶段：方案编制前的公众参与、方案编制中的公众参与及方案编制完后的公众参与。</w:t>
      </w:r>
    </w:p>
    <w:p w14:paraId="3B2A73FE">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1、方案编制前的公众参与</w:t>
      </w:r>
    </w:p>
    <w:p w14:paraId="66B0B89A">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在方案编制之间前，根据已经掌握的情况和方案所涉及难点和重点，制定了前期公众参与计划。调研的对象包括格尔木市相关管理部门及当地乡政府，矿区附近牧民，调查内容包括公众对建设项目的意见和对生态修复政策的了解程度，对土地损毁的知情程度及损毁土地的处理意见。</w:t>
      </w:r>
    </w:p>
    <w:p w14:paraId="24A6EA47">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通过本次公众参与活动，在一定程度上使项目建设方和公众得以沟通，收集大量的公众信息和建议对本设计的完善也有很大的作用。同时，需要加强引导公众参与生态修复工作，积极宣传生态修复法律、法规和相关政策，使社会各界人士形成修复土地、保护生态的意识。要深入开展土地基本国情和国策教育，加强生态修复法规和政策宣传，提高全社会对生态修复在全面建设小康社会、实施可持续发展战略、保护和建设生态环境中的重要作用的认识。树立依法、按规划进行生态修复的观念，增强公众参与和监督意识。</w:t>
      </w:r>
    </w:p>
    <w:p w14:paraId="327662B6">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2、方案初稿完成后的公众参与</w:t>
      </w:r>
    </w:p>
    <w:p w14:paraId="02B5AD72">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主要是指生态修复方案在编制完成后，首先征求委托方、专家及当地牧民的意见，就本方案对所采取的修复技术及措施、专家及当地土地管理部门对项目区内损毁生态修复后利用方向进行咨询和征求意见。</w:t>
      </w:r>
    </w:p>
    <w:p w14:paraId="0ECBB347">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3、方案实施过程中的公众参与</w:t>
      </w:r>
    </w:p>
    <w:p w14:paraId="37A95B80">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就生态修复实施监测、生态修复实施计划、生态修复验收和效果评估结果等进行征求并听取社会特别是有关土地所有权或使用权人的意见。</w:t>
      </w:r>
    </w:p>
    <w:p w14:paraId="77280A86">
      <w:pPr>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4、公众参与关系图见图9-1。</w:t>
      </w:r>
    </w:p>
    <w:p w14:paraId="5628AC64">
      <w:pPr>
        <w:spacing w:before="168" w:line="2565" w:lineRule="exact"/>
        <w:ind w:firstLine="646"/>
      </w:pPr>
      <w:r>
        <w:rPr>
          <w:position w:val="-51"/>
        </w:rPr>
        <w:drawing>
          <wp:inline distT="0" distB="0" distL="0" distR="0">
            <wp:extent cx="4886960" cy="1628775"/>
            <wp:effectExtent l="0" t="0" r="2540" b="635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25"/>
                    <a:stretch>
                      <a:fillRect/>
                    </a:stretch>
                  </pic:blipFill>
                  <pic:spPr>
                    <a:xfrm>
                      <a:off x="0" y="0"/>
                      <a:ext cx="4887467" cy="1629155"/>
                    </a:xfrm>
                    <a:prstGeom prst="rect">
                      <a:avLst/>
                    </a:prstGeom>
                  </pic:spPr>
                </pic:pic>
              </a:graphicData>
            </a:graphic>
          </wp:inline>
        </w:drawing>
      </w:r>
    </w:p>
    <w:p w14:paraId="716A5FF4">
      <w:pPr>
        <w:spacing w:before="3" w:line="227" w:lineRule="auto"/>
        <w:jc w:val="center"/>
        <w:rPr>
          <w:rFonts w:hint="eastAsia" w:ascii="宋体" w:hAnsi="宋体" w:eastAsia="宋体" w:cs="宋体"/>
          <w:b/>
          <w:bCs/>
          <w:spacing w:val="6"/>
          <w:sz w:val="21"/>
          <w:szCs w:val="21"/>
          <w:lang w:eastAsia="zh-CN"/>
        </w:rPr>
      </w:pPr>
      <w:r>
        <w:rPr>
          <w:rFonts w:hint="eastAsia" w:ascii="宋体" w:hAnsi="宋体" w:eastAsia="宋体" w:cs="宋体"/>
          <w:b/>
          <w:bCs/>
          <w:spacing w:val="6"/>
          <w:sz w:val="21"/>
          <w:szCs w:val="21"/>
          <w:lang w:eastAsia="zh-CN"/>
        </w:rPr>
        <w:t>图7-1  公众参与关系图</w:t>
      </w:r>
    </w:p>
    <w:p w14:paraId="18EFF580">
      <w:pPr>
        <w:pStyle w:val="3"/>
        <w:keepNext w:val="0"/>
        <w:keepLines w:val="0"/>
        <w:widowControl w:val="0"/>
        <w:adjustRightInd/>
        <w:snapToGrid/>
        <w:spacing w:before="0" w:after="0" w:line="360" w:lineRule="auto"/>
        <w:rPr>
          <w:b w:val="0"/>
          <w:bCs/>
          <w:lang w:eastAsia="zh-CN"/>
        </w:rPr>
      </w:pPr>
      <w:bookmarkStart w:id="316" w:name="bookmark218"/>
      <w:bookmarkEnd w:id="316"/>
      <w:bookmarkStart w:id="317" w:name="bookmark223"/>
      <w:bookmarkEnd w:id="317"/>
      <w:bookmarkStart w:id="318" w:name="bookmark222"/>
      <w:bookmarkEnd w:id="318"/>
      <w:bookmarkStart w:id="319" w:name="bookmark219"/>
      <w:bookmarkEnd w:id="319"/>
      <w:bookmarkStart w:id="320" w:name="_Toc20948"/>
      <w:r>
        <w:rPr>
          <w:rFonts w:hint="eastAsia"/>
          <w:b w:val="0"/>
          <w:bCs/>
          <w:lang w:eastAsia="zh-CN"/>
        </w:rPr>
        <w:t>三、效益分析</w:t>
      </w:r>
      <w:bookmarkEnd w:id="320"/>
    </w:p>
    <w:p w14:paraId="48A9EBAB">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通过科学规划、合理布局、保护与治理相结合的措施可使当地社会、经济、环境相互协调发展，既可开发利用矿产资源，也可保护当地区域环境状态，实现人口、资源、环境的可持续协调发展。</w:t>
      </w:r>
    </w:p>
    <w:p w14:paraId="39C2D37E">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321" w:name="bookmark224"/>
      <w:bookmarkEnd w:id="321"/>
      <w:bookmarkStart w:id="322" w:name="bookmark225"/>
      <w:bookmarkEnd w:id="322"/>
      <w:bookmarkStart w:id="323" w:name="_Toc30803"/>
      <w:bookmarkStart w:id="324" w:name="_Toc22447"/>
      <w:r>
        <w:rPr>
          <w:rFonts w:hint="eastAsia" w:ascii="宋体" w:hAnsi="宋体" w:eastAsia="宋体" w:cs="宋体"/>
          <w:sz w:val="28"/>
          <w:szCs w:val="28"/>
          <w:lang w:eastAsia="zh-CN"/>
        </w:rPr>
        <w:t>（一）社会效益</w:t>
      </w:r>
      <w:bookmarkEnd w:id="323"/>
      <w:bookmarkEnd w:id="324"/>
    </w:p>
    <w:p w14:paraId="0238507C">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从国家大局出发，资源开发消耗绝不能以破坏地质环境为代价，所以随着政府一系列文件的出台，企业应提高环境质量意识，对于实现经济可持续发展，贯彻和落实以人为本的科学发展观，具有一定的社会效益。</w:t>
      </w:r>
    </w:p>
    <w:p w14:paraId="45745201">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项目区进行生态修复，有效的改善了矿区环境，符合国家关于十分珍惜合理利用每一寸土地的国策。同时通过矿区生态修复方案的实施能带来以下的好处：</w:t>
      </w:r>
    </w:p>
    <w:p w14:paraId="1A7AC99C">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一是有利于促进当地劳动力的就业，增加农民的收入；</w:t>
      </w:r>
    </w:p>
    <w:p w14:paraId="73951699">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二是有利于矿区及附近农林业的安全生产，实现当地社会经济的可持续发展。</w:t>
      </w:r>
    </w:p>
    <w:p w14:paraId="3990DCE0">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325" w:name="_Toc21913"/>
      <w:bookmarkStart w:id="326" w:name="_Toc1833"/>
      <w:r>
        <w:rPr>
          <w:rFonts w:hint="eastAsia" w:ascii="宋体" w:hAnsi="宋体" w:eastAsia="宋体" w:cs="宋体"/>
          <w:sz w:val="28"/>
          <w:szCs w:val="28"/>
          <w:lang w:eastAsia="zh-CN"/>
        </w:rPr>
        <w:t>（二）生态效益</w:t>
      </w:r>
      <w:bookmarkEnd w:id="325"/>
      <w:bookmarkEnd w:id="326"/>
    </w:p>
    <w:p w14:paraId="0576496E">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矿区生态修复的环境效益是显而易见的，矿山生产项目实施过程中，必将给矿山及周边生态环境带来一定的影响和危害。</w:t>
      </w:r>
    </w:p>
    <w:p w14:paraId="25EBC273">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矿区生态修复工程实施后，可消除矿山地质灾害隐患和污染源，有效地防止水土流失，改善当地生态环境，修复为沙地</w:t>
      </w:r>
      <w:r>
        <w:rPr>
          <w:rFonts w:hint="eastAsia" w:ascii="宋体" w:hAnsi="宋体" w:eastAsia="宋体" w:cs="宋体"/>
          <w:spacing w:val="4"/>
          <w:sz w:val="28"/>
          <w:szCs w:val="28"/>
          <w:lang w:val="en-US" w:eastAsia="zh-CN"/>
        </w:rPr>
        <w:t>104.47</w:t>
      </w:r>
      <w:r>
        <w:rPr>
          <w:rFonts w:hint="eastAsia" w:ascii="宋体" w:hAnsi="宋体" w:eastAsia="宋体" w:cs="宋体"/>
          <w:spacing w:val="4"/>
          <w:sz w:val="28"/>
          <w:szCs w:val="28"/>
          <w:lang w:eastAsia="zh-CN"/>
        </w:rPr>
        <w:t>hm</w:t>
      </w:r>
      <w:r>
        <w:rPr>
          <w:rFonts w:hint="eastAsia" w:ascii="宋体" w:hAnsi="宋体" w:eastAsia="宋体" w:cs="宋体"/>
          <w:spacing w:val="4"/>
          <w:sz w:val="28"/>
          <w:szCs w:val="28"/>
          <w:vertAlign w:val="superscript"/>
          <w:lang w:eastAsia="zh-CN"/>
        </w:rPr>
        <w:t>2</w:t>
      </w:r>
      <w:r>
        <w:rPr>
          <w:rFonts w:hint="eastAsia" w:ascii="宋体" w:hAnsi="宋体" w:eastAsia="宋体" w:cs="宋体"/>
          <w:spacing w:val="4"/>
          <w:sz w:val="28"/>
          <w:szCs w:val="28"/>
          <w:lang w:eastAsia="zh-CN"/>
        </w:rPr>
        <w:t>。对矿山生产破坏的土地应尽量恢复其原有的功能，不改变其原来的使用功能。通过对项目区生态环境的恢复与建设，使占有和破坏的土地得到恢复，建成人工与自然复合的生态系统，形成新的人工和自然景观。将工程对生态环境影响减小到最低，改善了生物群落的生活环境，恢复生物多样化。因此，环境效益显著。</w:t>
      </w:r>
    </w:p>
    <w:p w14:paraId="608F862C">
      <w:pPr>
        <w:pStyle w:val="4"/>
        <w:keepNext w:val="0"/>
        <w:keepLines w:val="0"/>
        <w:widowControl w:val="0"/>
        <w:kinsoku/>
        <w:adjustRightInd/>
        <w:snapToGrid/>
        <w:spacing w:before="0" w:after="0" w:line="360" w:lineRule="auto"/>
        <w:rPr>
          <w:rFonts w:hint="eastAsia" w:ascii="宋体" w:hAnsi="宋体" w:eastAsia="宋体" w:cs="宋体"/>
          <w:sz w:val="28"/>
          <w:szCs w:val="28"/>
          <w:lang w:eastAsia="zh-CN"/>
        </w:rPr>
      </w:pPr>
      <w:bookmarkStart w:id="327" w:name="bookmark229"/>
      <w:bookmarkEnd w:id="327"/>
      <w:bookmarkStart w:id="328" w:name="bookmark228"/>
      <w:bookmarkEnd w:id="328"/>
      <w:bookmarkStart w:id="329" w:name="_Toc796"/>
      <w:bookmarkStart w:id="330" w:name="_Toc15090"/>
      <w:r>
        <w:rPr>
          <w:rFonts w:hint="eastAsia" w:ascii="宋体" w:hAnsi="宋体" w:eastAsia="宋体" w:cs="宋体"/>
          <w:sz w:val="28"/>
          <w:szCs w:val="28"/>
          <w:lang w:eastAsia="zh-CN"/>
        </w:rPr>
        <w:t>（三）经济效益</w:t>
      </w:r>
      <w:bookmarkEnd w:id="329"/>
      <w:bookmarkEnd w:id="330"/>
    </w:p>
    <w:p w14:paraId="7D1B425D">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1、直接经济效益预期成果</w:t>
      </w:r>
    </w:p>
    <w:p w14:paraId="19CDD7B5">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本项目通过矿区生态修复后，恢复了原地类，地形地貌得到了恢复。</w:t>
      </w:r>
    </w:p>
    <w:p w14:paraId="08D90037">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由此可见，矿区生态修复工程实施后的直接经济效益较显著的。</w:t>
      </w:r>
    </w:p>
    <w:p w14:paraId="07EA0012">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2、间接经济效益预期成果</w:t>
      </w:r>
    </w:p>
    <w:p w14:paraId="37116DF5">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矿区生态修复应结合矿山建设过程中的总量控制与循环经济，通过对矿区生态修复，一方面减少了矿山地质灾害的发生，一方面降低了生态环境破坏程度。同时矿区生态修复起到了显著的水土保持效果，减少了项目影响区域的水土流失量，改善了矿山生态环境。</w:t>
      </w:r>
    </w:p>
    <w:p w14:paraId="32B42B6B">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sectPr>
          <w:footerReference r:id="rId9" w:type="default"/>
          <w:pgSz w:w="11905" w:h="16839"/>
          <w:pgMar w:top="1440" w:right="1800" w:bottom="1440" w:left="1800" w:header="680" w:footer="850" w:gutter="0"/>
          <w:cols w:space="720" w:num="1"/>
        </w:sectPr>
      </w:pPr>
      <w:r>
        <w:rPr>
          <w:rFonts w:hint="eastAsia" w:ascii="宋体" w:hAnsi="宋体" w:eastAsia="宋体" w:cs="宋体"/>
          <w:spacing w:val="4"/>
          <w:sz w:val="28"/>
          <w:szCs w:val="28"/>
          <w:lang w:eastAsia="zh-CN"/>
        </w:rPr>
        <w:t>由此可见，对矿区进行生态修复不仅减少了企业开支，同时给当地周边居民和政府带来利益和财富，具有十分可观的经济效益。</w:t>
      </w:r>
    </w:p>
    <w:p w14:paraId="44F2726D">
      <w:pPr>
        <w:pStyle w:val="2"/>
        <w:keepNext w:val="0"/>
        <w:keepLines w:val="0"/>
        <w:widowControl w:val="0"/>
        <w:kinsoku/>
        <w:spacing w:before="0" w:after="0" w:line="360" w:lineRule="auto"/>
        <w:jc w:val="center"/>
        <w:rPr>
          <w:rFonts w:hint="eastAsia" w:ascii="黑体" w:hAnsi="黑体" w:eastAsia="黑体" w:cs="黑体"/>
          <w:b w:val="0"/>
          <w:bCs/>
          <w:sz w:val="32"/>
          <w:szCs w:val="32"/>
          <w:lang w:eastAsia="zh-CN"/>
        </w:rPr>
      </w:pPr>
      <w:bookmarkStart w:id="331" w:name="bookmark231"/>
      <w:bookmarkEnd w:id="331"/>
      <w:bookmarkStart w:id="332" w:name="bookmark235"/>
      <w:bookmarkEnd w:id="332"/>
      <w:bookmarkStart w:id="333" w:name="bookmark234"/>
      <w:bookmarkEnd w:id="333"/>
      <w:bookmarkStart w:id="334" w:name="bookmark227"/>
      <w:bookmarkEnd w:id="334"/>
      <w:bookmarkStart w:id="335" w:name="bookmark226"/>
      <w:bookmarkEnd w:id="335"/>
      <w:bookmarkStart w:id="336" w:name="bookmark230"/>
      <w:bookmarkEnd w:id="336"/>
      <w:bookmarkStart w:id="337" w:name="bookmark233"/>
      <w:bookmarkEnd w:id="337"/>
      <w:bookmarkStart w:id="338" w:name="bookmark232"/>
      <w:bookmarkEnd w:id="338"/>
      <w:bookmarkStart w:id="339" w:name="_Toc17338"/>
      <w:r>
        <w:rPr>
          <w:rFonts w:hint="eastAsia" w:ascii="黑体" w:hAnsi="黑体" w:eastAsia="黑体" w:cs="黑体"/>
          <w:b w:val="0"/>
          <w:bCs/>
          <w:sz w:val="32"/>
          <w:szCs w:val="32"/>
          <w:lang w:eastAsia="zh-CN"/>
        </w:rPr>
        <w:t>第八章  结论</w:t>
      </w:r>
      <w:bookmarkEnd w:id="339"/>
    </w:p>
    <w:p w14:paraId="241C8F2C">
      <w:pPr>
        <w:pStyle w:val="3"/>
        <w:keepNext w:val="0"/>
        <w:keepLines w:val="0"/>
        <w:widowControl w:val="0"/>
        <w:adjustRightInd/>
        <w:snapToGrid/>
        <w:spacing w:before="0" w:after="0" w:line="360" w:lineRule="auto"/>
        <w:rPr>
          <w:b w:val="0"/>
          <w:bCs/>
          <w:lang w:eastAsia="zh-CN"/>
        </w:rPr>
      </w:pPr>
      <w:bookmarkStart w:id="340" w:name="bookmark291"/>
      <w:bookmarkEnd w:id="340"/>
      <w:bookmarkStart w:id="341" w:name="_Toc10652"/>
      <w:r>
        <w:rPr>
          <w:rFonts w:hint="eastAsia"/>
          <w:b w:val="0"/>
          <w:bCs/>
          <w:lang w:eastAsia="zh-CN"/>
        </w:rPr>
        <w:t>一、结论</w:t>
      </w:r>
      <w:bookmarkEnd w:id="341"/>
    </w:p>
    <w:p w14:paraId="76AD6113">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1、格尔木昆鹏能源开发建设有限公司青海省格尔木市茶格高速南建筑用砂2#矿矿区面积为0.</w:t>
      </w:r>
      <w:r>
        <w:rPr>
          <w:rFonts w:hint="eastAsia" w:ascii="宋体" w:hAnsi="宋体" w:eastAsia="宋体" w:cs="宋体"/>
          <w:spacing w:val="4"/>
          <w:sz w:val="28"/>
          <w:szCs w:val="28"/>
          <w:lang w:val="en-US" w:eastAsia="zh-CN"/>
        </w:rPr>
        <w:t>9996</w:t>
      </w:r>
      <w:r>
        <w:rPr>
          <w:rFonts w:hint="eastAsia" w:ascii="宋体" w:hAnsi="宋体" w:eastAsia="宋体" w:cs="宋体"/>
          <w:spacing w:val="4"/>
          <w:sz w:val="28"/>
          <w:szCs w:val="28"/>
          <w:lang w:eastAsia="zh-CN"/>
        </w:rPr>
        <w:t>km</w:t>
      </w:r>
      <w:r>
        <w:rPr>
          <w:rFonts w:hint="eastAsia" w:ascii="宋体" w:hAnsi="宋体" w:eastAsia="宋体" w:cs="宋体"/>
          <w:spacing w:val="4"/>
          <w:sz w:val="28"/>
          <w:szCs w:val="28"/>
          <w:vertAlign w:val="superscript"/>
          <w:lang w:eastAsia="zh-CN"/>
        </w:rPr>
        <w:t>2</w:t>
      </w:r>
      <w:r>
        <w:rPr>
          <w:rFonts w:hint="eastAsia" w:ascii="宋体" w:hAnsi="宋体" w:eastAsia="宋体" w:cs="宋体"/>
          <w:spacing w:val="4"/>
          <w:sz w:val="28"/>
          <w:szCs w:val="28"/>
          <w:lang w:eastAsia="zh-CN"/>
        </w:rPr>
        <w:t>；</w:t>
      </w:r>
      <w:r>
        <w:rPr>
          <w:rFonts w:hint="eastAsia" w:ascii="宋体" w:hAnsi="宋体" w:eastAsia="宋体" w:cs="宋体"/>
          <w:sz w:val="28"/>
          <w:szCs w:val="28"/>
          <w:lang w:eastAsia="zh-CN"/>
        </w:rPr>
        <w:t>建筑用砂保有资源量为</w:t>
      </w:r>
      <w:r>
        <w:rPr>
          <w:rFonts w:hint="eastAsia" w:ascii="宋体" w:hAnsi="宋体" w:eastAsia="宋体" w:cs="宋体"/>
          <w:sz w:val="28"/>
          <w:szCs w:val="28"/>
          <w:lang w:val="en-US" w:eastAsia="zh-CN"/>
        </w:rPr>
        <w:t>228.74</w:t>
      </w:r>
      <w:r>
        <w:rPr>
          <w:rFonts w:hint="eastAsia" w:ascii="宋体" w:hAnsi="宋体" w:eastAsia="宋体" w:cs="宋体"/>
          <w:sz w:val="28"/>
          <w:szCs w:val="28"/>
          <w:lang w:eastAsia="zh-CN"/>
        </w:rPr>
        <w:t>万m³</w:t>
      </w:r>
      <w:r>
        <w:rPr>
          <w:rFonts w:hint="eastAsia" w:ascii="宋体" w:hAnsi="宋体" w:cs="宋体"/>
          <w:sz w:val="28"/>
          <w:szCs w:val="28"/>
          <w:lang w:eastAsia="zh-CN"/>
        </w:rPr>
        <w:t>，</w:t>
      </w:r>
      <w:r>
        <w:rPr>
          <w:rFonts w:hint="eastAsia" w:ascii="宋体" w:hAnsi="宋体" w:eastAsia="宋体" w:cs="宋体"/>
          <w:spacing w:val="4"/>
          <w:sz w:val="28"/>
          <w:szCs w:val="28"/>
          <w:lang w:eastAsia="zh-CN"/>
        </w:rPr>
        <w:t>开采矿种为</w:t>
      </w:r>
      <w:r>
        <w:rPr>
          <w:rFonts w:hint="eastAsia" w:ascii="宋体" w:hAnsi="宋体" w:eastAsia="宋体" w:cs="宋体"/>
          <w:sz w:val="28"/>
          <w:szCs w:val="28"/>
          <w:lang w:eastAsia="zh-CN"/>
        </w:rPr>
        <w:t>建筑用砂</w:t>
      </w:r>
      <w:r>
        <w:rPr>
          <w:rFonts w:hint="eastAsia" w:ascii="宋体" w:hAnsi="宋体" w:eastAsia="宋体" w:cs="宋体"/>
          <w:spacing w:val="4"/>
          <w:sz w:val="28"/>
          <w:szCs w:val="28"/>
          <w:lang w:eastAsia="zh-CN"/>
        </w:rPr>
        <w:t>；生产规模为</w:t>
      </w:r>
      <w:r>
        <w:rPr>
          <w:rFonts w:hint="eastAsia" w:ascii="宋体" w:hAnsi="宋体" w:eastAsia="宋体" w:cs="宋体"/>
          <w:spacing w:val="4"/>
          <w:sz w:val="28"/>
          <w:szCs w:val="28"/>
          <w:lang w:val="en-US" w:eastAsia="zh-CN"/>
        </w:rPr>
        <w:t>5</w:t>
      </w:r>
      <w:r>
        <w:rPr>
          <w:rFonts w:hint="eastAsia" w:ascii="宋体" w:hAnsi="宋体" w:eastAsia="宋体" w:cs="宋体"/>
          <w:spacing w:val="4"/>
          <w:sz w:val="28"/>
          <w:szCs w:val="28"/>
          <w:lang w:eastAsia="zh-CN"/>
        </w:rPr>
        <w:t>0万m</w:t>
      </w:r>
      <w:r>
        <w:rPr>
          <w:rFonts w:hint="eastAsia" w:ascii="宋体" w:hAnsi="宋体" w:eastAsia="宋体" w:cs="宋体"/>
          <w:spacing w:val="4"/>
          <w:sz w:val="28"/>
          <w:szCs w:val="28"/>
          <w:vertAlign w:val="superscript"/>
          <w:lang w:eastAsia="zh-CN"/>
        </w:rPr>
        <w:t>3</w:t>
      </w:r>
      <w:r>
        <w:rPr>
          <w:rFonts w:hint="eastAsia" w:ascii="宋体" w:hAnsi="宋体" w:eastAsia="宋体" w:cs="宋体"/>
          <w:spacing w:val="4"/>
          <w:sz w:val="28"/>
          <w:szCs w:val="28"/>
          <w:lang w:eastAsia="zh-CN"/>
        </w:rPr>
        <w:t>/a；本矿采用露天机械开采；矿山设计服务年限为</w:t>
      </w:r>
      <w:r>
        <w:rPr>
          <w:rFonts w:hint="eastAsia" w:ascii="宋体" w:hAnsi="宋体" w:eastAsia="宋体" w:cs="宋体"/>
          <w:spacing w:val="4"/>
          <w:sz w:val="28"/>
          <w:szCs w:val="28"/>
          <w:lang w:val="en-US" w:eastAsia="zh-CN"/>
        </w:rPr>
        <w:t>4.5</w:t>
      </w:r>
      <w:r>
        <w:rPr>
          <w:rFonts w:hint="eastAsia" w:ascii="宋体" w:hAnsi="宋体" w:eastAsia="宋体" w:cs="宋体"/>
          <w:spacing w:val="4"/>
          <w:sz w:val="28"/>
          <w:szCs w:val="28"/>
          <w:lang w:eastAsia="zh-CN"/>
        </w:rPr>
        <w:t>年，矿山恢复治理年限为2年，矿区生态修复方案的服务年限为</w:t>
      </w:r>
      <w:r>
        <w:rPr>
          <w:rFonts w:hint="eastAsia" w:ascii="宋体" w:hAnsi="宋体" w:eastAsia="宋体" w:cs="宋体"/>
          <w:spacing w:val="4"/>
          <w:sz w:val="28"/>
          <w:szCs w:val="28"/>
          <w:lang w:val="en-US" w:eastAsia="zh-CN"/>
        </w:rPr>
        <w:t>6.5</w:t>
      </w:r>
      <w:r>
        <w:rPr>
          <w:rFonts w:hint="eastAsia" w:ascii="宋体" w:hAnsi="宋体" w:eastAsia="宋体" w:cs="宋体"/>
          <w:spacing w:val="4"/>
          <w:sz w:val="28"/>
          <w:szCs w:val="28"/>
          <w:lang w:eastAsia="zh-CN"/>
        </w:rPr>
        <w:t>年，即2025年12月至203</w:t>
      </w:r>
      <w:r>
        <w:rPr>
          <w:rFonts w:hint="eastAsia" w:ascii="宋体" w:hAnsi="宋体" w:eastAsia="宋体" w:cs="宋体"/>
          <w:spacing w:val="4"/>
          <w:sz w:val="28"/>
          <w:szCs w:val="28"/>
          <w:lang w:val="en-US" w:eastAsia="zh-CN"/>
        </w:rPr>
        <w:t>1</w:t>
      </w:r>
      <w:r>
        <w:rPr>
          <w:rFonts w:hint="eastAsia" w:ascii="宋体" w:hAnsi="宋体" w:eastAsia="宋体" w:cs="宋体"/>
          <w:spacing w:val="4"/>
          <w:sz w:val="28"/>
          <w:szCs w:val="28"/>
          <w:lang w:eastAsia="zh-CN"/>
        </w:rPr>
        <w:t>年</w:t>
      </w:r>
      <w:r>
        <w:rPr>
          <w:rFonts w:hint="eastAsia" w:ascii="宋体" w:hAnsi="宋体" w:eastAsia="宋体" w:cs="宋体"/>
          <w:spacing w:val="4"/>
          <w:sz w:val="28"/>
          <w:szCs w:val="28"/>
          <w:lang w:val="en-US" w:eastAsia="zh-CN"/>
        </w:rPr>
        <w:t>6</w:t>
      </w:r>
      <w:r>
        <w:rPr>
          <w:rFonts w:hint="eastAsia" w:ascii="宋体" w:hAnsi="宋体" w:eastAsia="宋体" w:cs="宋体"/>
          <w:spacing w:val="4"/>
          <w:sz w:val="28"/>
          <w:szCs w:val="28"/>
          <w:lang w:eastAsia="zh-CN"/>
        </w:rPr>
        <w:t>月；</w:t>
      </w:r>
    </w:p>
    <w:p w14:paraId="74720ACA">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2、矿山生产建设规模为大型，矿山地质环境条件复杂程度为中等，评估区的重要程度为一般区，因此将本次的评估级别确定为二级，评估区范围面积为151.84hm</w:t>
      </w:r>
      <w:r>
        <w:rPr>
          <w:rFonts w:hint="eastAsia" w:ascii="宋体" w:hAnsi="宋体" w:eastAsia="宋体" w:cs="宋体"/>
          <w:spacing w:val="4"/>
          <w:sz w:val="28"/>
          <w:szCs w:val="28"/>
          <w:vertAlign w:val="superscript"/>
          <w:lang w:eastAsia="zh-CN"/>
        </w:rPr>
        <w:t>2</w:t>
      </w:r>
      <w:r>
        <w:rPr>
          <w:rFonts w:hint="eastAsia" w:ascii="宋体" w:hAnsi="宋体" w:eastAsia="宋体" w:cs="宋体"/>
          <w:spacing w:val="4"/>
          <w:sz w:val="28"/>
          <w:szCs w:val="28"/>
          <w:lang w:eastAsia="zh-CN"/>
        </w:rPr>
        <w:t>；</w:t>
      </w:r>
    </w:p>
    <w:p w14:paraId="5614CF02">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3、现状评估分区：将评估区划分为矿区生态环境破坏和影响严重区、较严重区和较轻区；</w:t>
      </w:r>
    </w:p>
    <w:p w14:paraId="775661A8">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4、预测评估分区：将评估区划分为矿区生态环境破坏和影响严重区、较严重区和较轻区；</w:t>
      </w:r>
    </w:p>
    <w:p w14:paraId="47ED5361">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5、依据矿区生态环境现状评估和预测评估结果，将评估区划分为</w:t>
      </w:r>
      <w:r>
        <w:rPr>
          <w:rFonts w:hint="eastAsia" w:ascii="宋体" w:hAnsi="宋体" w:eastAsia="宋体" w:cs="宋体"/>
          <w:spacing w:val="4"/>
          <w:sz w:val="28"/>
          <w:szCs w:val="28"/>
          <w:lang w:val="en-US" w:eastAsia="zh-CN"/>
        </w:rPr>
        <w:t>1</w:t>
      </w:r>
      <w:r>
        <w:rPr>
          <w:rFonts w:hint="eastAsia" w:ascii="宋体" w:hAnsi="宋体" w:eastAsia="宋体" w:cs="宋体"/>
          <w:spacing w:val="4"/>
          <w:sz w:val="28"/>
          <w:szCs w:val="28"/>
          <w:lang w:eastAsia="zh-CN"/>
        </w:rPr>
        <w:t>个矿区生态环境重点防治区（A）、</w:t>
      </w:r>
      <w:r>
        <w:rPr>
          <w:rFonts w:hint="eastAsia" w:ascii="宋体" w:hAnsi="宋体" w:eastAsia="宋体" w:cs="宋体"/>
          <w:spacing w:val="4"/>
          <w:sz w:val="28"/>
          <w:szCs w:val="28"/>
          <w:lang w:val="en-US" w:eastAsia="zh-CN"/>
        </w:rPr>
        <w:t>1</w:t>
      </w:r>
      <w:r>
        <w:rPr>
          <w:rFonts w:hint="eastAsia" w:ascii="宋体" w:hAnsi="宋体" w:eastAsia="宋体" w:cs="宋体"/>
          <w:spacing w:val="4"/>
          <w:sz w:val="28"/>
          <w:szCs w:val="28"/>
          <w:lang w:eastAsia="zh-CN"/>
        </w:rPr>
        <w:t>个次重点防治区、</w:t>
      </w:r>
      <w:r>
        <w:rPr>
          <w:rFonts w:hint="eastAsia" w:ascii="宋体" w:hAnsi="宋体" w:eastAsia="宋体" w:cs="宋体"/>
          <w:spacing w:val="4"/>
          <w:sz w:val="28"/>
          <w:szCs w:val="28"/>
          <w:lang w:val="en-US" w:eastAsia="zh-CN"/>
        </w:rPr>
        <w:t>1</w:t>
      </w:r>
      <w:r>
        <w:rPr>
          <w:rFonts w:hint="eastAsia" w:ascii="宋体" w:hAnsi="宋体" w:eastAsia="宋体" w:cs="宋体"/>
          <w:spacing w:val="4"/>
          <w:sz w:val="28"/>
          <w:szCs w:val="28"/>
          <w:lang w:eastAsia="zh-CN"/>
        </w:rPr>
        <w:t>个一般防治区（C）；</w:t>
      </w:r>
    </w:p>
    <w:p w14:paraId="76A4990F">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6、生态修复范围：项目生态修复责任范围</w:t>
      </w:r>
      <w:r>
        <w:rPr>
          <w:rFonts w:hint="eastAsia" w:ascii="宋体" w:hAnsi="宋体" w:eastAsia="宋体" w:cs="宋体"/>
          <w:spacing w:val="4"/>
          <w:sz w:val="28"/>
          <w:szCs w:val="28"/>
          <w:lang w:val="en-US" w:eastAsia="zh-CN"/>
        </w:rPr>
        <w:t>104.47</w:t>
      </w:r>
      <w:r>
        <w:rPr>
          <w:rFonts w:hint="eastAsia" w:ascii="宋体" w:hAnsi="宋体" w:eastAsia="宋体" w:cs="宋体"/>
          <w:spacing w:val="4"/>
          <w:sz w:val="28"/>
          <w:szCs w:val="28"/>
          <w:lang w:eastAsia="zh-CN"/>
        </w:rPr>
        <w:t>hm</w:t>
      </w:r>
      <w:r>
        <w:rPr>
          <w:rFonts w:hint="eastAsia" w:ascii="宋体" w:hAnsi="宋体" w:eastAsia="宋体" w:cs="宋体"/>
          <w:spacing w:val="4"/>
          <w:sz w:val="28"/>
          <w:szCs w:val="28"/>
          <w:vertAlign w:val="superscript"/>
          <w:lang w:eastAsia="zh-CN"/>
        </w:rPr>
        <w:t>2</w:t>
      </w:r>
      <w:r>
        <w:rPr>
          <w:rFonts w:hint="eastAsia" w:ascii="宋体" w:hAnsi="宋体" w:eastAsia="宋体" w:cs="宋体"/>
          <w:spacing w:val="4"/>
          <w:sz w:val="28"/>
          <w:szCs w:val="28"/>
          <w:lang w:eastAsia="zh-CN"/>
        </w:rPr>
        <w:t>，修复面积</w:t>
      </w:r>
      <w:r>
        <w:rPr>
          <w:rFonts w:hint="eastAsia" w:ascii="宋体" w:hAnsi="宋体" w:eastAsia="宋体" w:cs="宋体"/>
          <w:spacing w:val="4"/>
          <w:sz w:val="28"/>
          <w:szCs w:val="28"/>
          <w:lang w:val="en-US" w:eastAsia="zh-CN"/>
        </w:rPr>
        <w:t>104.47</w:t>
      </w:r>
      <w:r>
        <w:rPr>
          <w:rFonts w:hint="eastAsia" w:ascii="宋体" w:hAnsi="宋体" w:eastAsia="宋体" w:cs="宋体"/>
          <w:spacing w:val="4"/>
          <w:sz w:val="28"/>
          <w:szCs w:val="28"/>
          <w:lang w:eastAsia="zh-CN"/>
        </w:rPr>
        <w:t>hm</w:t>
      </w:r>
      <w:r>
        <w:rPr>
          <w:rFonts w:hint="eastAsia" w:ascii="宋体" w:hAnsi="宋体" w:eastAsia="宋体" w:cs="宋体"/>
          <w:spacing w:val="4"/>
          <w:sz w:val="28"/>
          <w:szCs w:val="28"/>
          <w:vertAlign w:val="superscript"/>
          <w:lang w:eastAsia="zh-CN"/>
        </w:rPr>
        <w:t>2</w:t>
      </w:r>
      <w:r>
        <w:rPr>
          <w:rFonts w:hint="eastAsia" w:ascii="宋体" w:hAnsi="宋体" w:eastAsia="宋体" w:cs="宋体"/>
          <w:spacing w:val="4"/>
          <w:sz w:val="28"/>
          <w:szCs w:val="28"/>
          <w:lang w:eastAsia="zh-CN"/>
        </w:rPr>
        <w:t>，修复率为100%，由损毁责任人格尔木昆鹏能源开发建设有限公司负责；</w:t>
      </w:r>
    </w:p>
    <w:p w14:paraId="2390D913">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7、生态修复方向:修复为沙地；</w:t>
      </w:r>
    </w:p>
    <w:p w14:paraId="06E474DD">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8、矿山地质灾害防治措施：主要以预防、监测、警示为主；</w:t>
      </w:r>
    </w:p>
    <w:p w14:paraId="0563F64A">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9、生态修复措施：主要修复措施为场地清理、拆除、平整等。</w:t>
      </w:r>
    </w:p>
    <w:p w14:paraId="66EC2A9B">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10、矿区生态修复工程量：清理风成沙及坡积物</w:t>
      </w:r>
      <w:r>
        <w:rPr>
          <w:rFonts w:hint="eastAsia" w:ascii="宋体" w:hAnsi="宋体" w:eastAsia="宋体" w:cs="宋体"/>
          <w:spacing w:val="4"/>
          <w:sz w:val="28"/>
          <w:szCs w:val="28"/>
          <w:lang w:val="en-US" w:eastAsia="zh-CN"/>
        </w:rPr>
        <w:t>6465.8</w:t>
      </w:r>
      <w:r>
        <w:rPr>
          <w:rFonts w:hint="eastAsia" w:ascii="宋体" w:hAnsi="宋体" w:eastAsia="宋体" w:cs="宋体"/>
          <w:spacing w:val="4"/>
          <w:sz w:val="28"/>
          <w:szCs w:val="28"/>
          <w:lang w:eastAsia="zh-CN"/>
        </w:rPr>
        <w:t>m³、砖混拆除</w:t>
      </w:r>
      <w:r>
        <w:rPr>
          <w:rFonts w:hint="eastAsia" w:ascii="宋体" w:hAnsi="宋体" w:eastAsia="宋体" w:cs="宋体"/>
          <w:spacing w:val="4"/>
          <w:sz w:val="28"/>
          <w:szCs w:val="28"/>
          <w:lang w:val="en-US" w:eastAsia="zh-CN"/>
        </w:rPr>
        <w:t>717</w:t>
      </w:r>
      <w:r>
        <w:rPr>
          <w:rFonts w:hint="eastAsia" w:ascii="宋体" w:hAnsi="宋体" w:eastAsia="宋体" w:cs="宋体"/>
          <w:spacing w:val="4"/>
          <w:sz w:val="28"/>
          <w:szCs w:val="28"/>
          <w:lang w:eastAsia="zh-CN"/>
        </w:rPr>
        <w:t>m³、硬化拆除</w:t>
      </w:r>
      <w:r>
        <w:rPr>
          <w:rFonts w:hint="eastAsia" w:ascii="宋体" w:hAnsi="宋体" w:eastAsia="宋体" w:cs="宋体"/>
          <w:spacing w:val="4"/>
          <w:sz w:val="28"/>
          <w:szCs w:val="28"/>
          <w:lang w:val="en-US" w:eastAsia="zh-CN"/>
        </w:rPr>
        <w:t>257</w:t>
      </w:r>
      <w:r>
        <w:rPr>
          <w:rFonts w:hint="eastAsia" w:ascii="宋体" w:hAnsi="宋体" w:eastAsia="宋体" w:cs="宋体"/>
          <w:spacing w:val="4"/>
          <w:sz w:val="28"/>
          <w:szCs w:val="28"/>
          <w:lang w:eastAsia="zh-CN"/>
        </w:rPr>
        <w:t>m³、彩钢拆除</w:t>
      </w:r>
      <w:r>
        <w:rPr>
          <w:rFonts w:hint="eastAsia" w:ascii="宋体" w:hAnsi="宋体" w:eastAsia="宋体" w:cs="宋体"/>
          <w:spacing w:val="4"/>
          <w:sz w:val="28"/>
          <w:szCs w:val="28"/>
          <w:lang w:val="en-US" w:eastAsia="zh-CN"/>
        </w:rPr>
        <w:t>1550</w:t>
      </w:r>
      <w:r>
        <w:rPr>
          <w:rFonts w:hint="eastAsia" w:ascii="宋体" w:hAnsi="宋体" w:eastAsia="宋体" w:cs="宋体"/>
          <w:spacing w:val="4"/>
          <w:sz w:val="28"/>
          <w:szCs w:val="28"/>
          <w:lang w:eastAsia="zh-CN"/>
        </w:rPr>
        <w:t>m³、截水沟</w:t>
      </w:r>
      <w:r>
        <w:rPr>
          <w:rFonts w:hint="eastAsia" w:ascii="宋体" w:hAnsi="宋体" w:eastAsia="宋体" w:cs="宋体"/>
          <w:spacing w:val="4"/>
          <w:sz w:val="28"/>
          <w:szCs w:val="28"/>
          <w:lang w:val="en-US" w:eastAsia="zh-CN"/>
        </w:rPr>
        <w:t>1420.8</w:t>
      </w:r>
      <w:r>
        <w:rPr>
          <w:rFonts w:hint="eastAsia" w:ascii="宋体" w:hAnsi="宋体" w:eastAsia="宋体" w:cs="宋体"/>
          <w:spacing w:val="4"/>
          <w:sz w:val="28"/>
          <w:szCs w:val="28"/>
          <w:lang w:eastAsia="zh-CN"/>
        </w:rPr>
        <w:t>m。</w:t>
      </w:r>
    </w:p>
    <w:p w14:paraId="0D2B5F38">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12、矿区地质环境保护与治理恢复工程经费</w:t>
      </w:r>
    </w:p>
    <w:p w14:paraId="53F091D4">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矿区生态修复工程总经费为</w:t>
      </w:r>
      <w:r>
        <w:rPr>
          <w:rFonts w:hint="eastAsia" w:ascii="宋体" w:hAnsi="宋体" w:eastAsia="宋体" w:cs="宋体"/>
          <w:spacing w:val="4"/>
          <w:sz w:val="28"/>
          <w:szCs w:val="28"/>
          <w:lang w:val="en-US" w:eastAsia="zh-CN"/>
        </w:rPr>
        <w:t>2272711.00</w:t>
      </w:r>
      <w:r>
        <w:rPr>
          <w:rFonts w:hint="eastAsia" w:ascii="宋体" w:hAnsi="宋体" w:eastAsia="宋体" w:cs="宋体"/>
          <w:spacing w:val="4"/>
          <w:sz w:val="28"/>
          <w:szCs w:val="28"/>
          <w:lang w:eastAsia="zh-CN"/>
        </w:rPr>
        <w:t>元（约</w:t>
      </w:r>
      <w:r>
        <w:rPr>
          <w:rFonts w:hint="eastAsia" w:ascii="宋体" w:hAnsi="宋体" w:eastAsia="宋体" w:cs="宋体"/>
          <w:spacing w:val="4"/>
          <w:sz w:val="28"/>
          <w:szCs w:val="28"/>
          <w:lang w:val="en-US" w:eastAsia="zh-CN"/>
        </w:rPr>
        <w:t>227.27万</w:t>
      </w:r>
      <w:r>
        <w:rPr>
          <w:rFonts w:hint="eastAsia" w:ascii="宋体" w:hAnsi="宋体" w:eastAsia="宋体" w:cs="宋体"/>
          <w:spacing w:val="4"/>
          <w:sz w:val="28"/>
          <w:szCs w:val="28"/>
          <w:lang w:eastAsia="zh-CN"/>
        </w:rPr>
        <w:t>元）。设专门帐户，专款专用，按规定单独建账，单独核算，同时加强对项目资金的监管，实现按项目进度分期拨款。近期工程纳入预算的主要有露天采场风成沙及坡积物清理的清理，经费需要</w:t>
      </w:r>
      <w:r>
        <w:rPr>
          <w:rFonts w:hint="eastAsia" w:ascii="宋体" w:hAnsi="宋体" w:eastAsia="宋体" w:cs="宋体"/>
          <w:spacing w:val="4"/>
          <w:sz w:val="28"/>
          <w:szCs w:val="28"/>
          <w:lang w:val="en-US" w:eastAsia="zh-CN"/>
        </w:rPr>
        <w:t>532962.82</w:t>
      </w:r>
      <w:r>
        <w:rPr>
          <w:rFonts w:hint="eastAsia" w:ascii="宋体" w:hAnsi="宋体" w:eastAsia="宋体" w:cs="宋体"/>
          <w:spacing w:val="4"/>
          <w:sz w:val="28"/>
          <w:szCs w:val="28"/>
          <w:lang w:eastAsia="zh-CN"/>
        </w:rPr>
        <w:t>元（</w:t>
      </w:r>
      <w:r>
        <w:rPr>
          <w:rFonts w:hint="eastAsia" w:ascii="宋体" w:hAnsi="宋体" w:eastAsia="宋体" w:cs="宋体"/>
          <w:spacing w:val="4"/>
          <w:sz w:val="28"/>
          <w:szCs w:val="28"/>
          <w:lang w:val="en-US" w:eastAsia="zh-CN"/>
        </w:rPr>
        <w:t>53.30</w:t>
      </w:r>
      <w:r>
        <w:rPr>
          <w:rFonts w:hint="eastAsia" w:ascii="宋体" w:hAnsi="宋体" w:eastAsia="宋体" w:cs="宋体"/>
          <w:spacing w:val="4"/>
          <w:sz w:val="28"/>
          <w:szCs w:val="28"/>
          <w:lang w:eastAsia="zh-CN"/>
        </w:rPr>
        <w:t>万元），详见矿区生态修复工程经费预算。</w:t>
      </w:r>
    </w:p>
    <w:p w14:paraId="4F174B7B">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矿区生态修复工程所需资金由采矿权人自筹。</w:t>
      </w:r>
    </w:p>
    <w:p w14:paraId="4BB782E0">
      <w:pPr>
        <w:pStyle w:val="3"/>
        <w:keepNext w:val="0"/>
        <w:keepLines w:val="0"/>
        <w:widowControl w:val="0"/>
        <w:kinsoku/>
        <w:adjustRightInd/>
        <w:snapToGrid/>
        <w:spacing w:before="0" w:after="0" w:line="360" w:lineRule="auto"/>
        <w:jc w:val="both"/>
        <w:rPr>
          <w:b w:val="0"/>
          <w:bCs/>
          <w:lang w:eastAsia="zh-CN"/>
        </w:rPr>
      </w:pPr>
      <w:bookmarkStart w:id="342" w:name="bookmark236"/>
      <w:bookmarkEnd w:id="342"/>
      <w:bookmarkStart w:id="343" w:name="bookmark237"/>
      <w:bookmarkEnd w:id="343"/>
      <w:bookmarkStart w:id="344" w:name="_Toc14133"/>
      <w:r>
        <w:rPr>
          <w:rFonts w:hint="eastAsia"/>
          <w:b w:val="0"/>
          <w:bCs/>
          <w:lang w:eastAsia="zh-CN"/>
        </w:rPr>
        <w:t>二、建议</w:t>
      </w:r>
      <w:bookmarkEnd w:id="344"/>
    </w:p>
    <w:p w14:paraId="5A24B95E">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1、在矿区生态修复矿山实施过程中，应注意周边生态环境的保护，避免人为的扰动造成新的破坏。</w:t>
      </w:r>
    </w:p>
    <w:p w14:paraId="4DE83DDD">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2、开采和治理期间应加强巡视，发现异常，及时处理。</w:t>
      </w:r>
    </w:p>
    <w:p w14:paraId="619A24A5">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3、矿山应积极响应“边开采、边治理”的原则，对于矿山建设场地已达最终状态的区域及时治理、恢复。矿山生产期加强对项目区损毁土地（矿山道路等区域）进行美化及净化的生态环境工程治理。</w:t>
      </w:r>
    </w:p>
    <w:p w14:paraId="717CB437">
      <w:pPr>
        <w:widowControl w:val="0"/>
        <w:kinsoku/>
        <w:adjustRightInd/>
        <w:snapToGrid/>
        <w:spacing w:line="360" w:lineRule="auto"/>
        <w:ind w:firstLine="576" w:firstLineChars="200"/>
        <w:jc w:val="both"/>
        <w:rPr>
          <w:rFonts w:hint="eastAsia" w:ascii="宋体" w:hAnsi="宋体" w:eastAsia="宋体" w:cs="宋体"/>
          <w:spacing w:val="4"/>
          <w:sz w:val="28"/>
          <w:szCs w:val="28"/>
          <w:lang w:eastAsia="zh-CN"/>
        </w:rPr>
      </w:pPr>
      <w:r>
        <w:rPr>
          <w:rFonts w:hint="eastAsia" w:ascii="宋体" w:hAnsi="宋体" w:eastAsia="宋体" w:cs="宋体"/>
          <w:spacing w:val="4"/>
          <w:sz w:val="28"/>
          <w:szCs w:val="28"/>
          <w:lang w:eastAsia="zh-CN"/>
        </w:rPr>
        <w:t>4、根据具体开采情况，应适时地对本方案进行修改，调整矿区生态修复实施工作。</w:t>
      </w:r>
    </w:p>
    <w:p w14:paraId="776E61D1">
      <w:pPr>
        <w:widowControl w:val="0"/>
        <w:kinsoku/>
        <w:adjustRightInd/>
        <w:snapToGrid/>
        <w:spacing w:line="360" w:lineRule="auto"/>
        <w:ind w:firstLine="576" w:firstLineChars="200"/>
        <w:jc w:val="both"/>
        <w:rPr>
          <w:lang w:eastAsia="zh-CN"/>
        </w:rPr>
      </w:pPr>
      <w:r>
        <w:rPr>
          <w:rFonts w:hint="eastAsia" w:ascii="宋体" w:hAnsi="宋体" w:eastAsia="宋体" w:cs="宋体"/>
          <w:spacing w:val="4"/>
          <w:sz w:val="28"/>
          <w:szCs w:val="28"/>
          <w:lang w:eastAsia="zh-CN"/>
        </w:rPr>
        <w:t>5、应加强维护管理，确保修复工程发挥长期效益。</w:t>
      </w:r>
    </w:p>
    <w:sectPr>
      <w:footerReference r:id="rId10" w:type="default"/>
      <w:pgSz w:w="11905" w:h="16829"/>
      <w:pgMar w:top="1800" w:right="1440" w:bottom="1800" w:left="1440" w:header="680" w:footer="10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02B3C8B-A296-44AB-A2EB-D0463F2EA35D}"/>
  </w:font>
  <w:font w:name="黑体">
    <w:panose1 w:val="02010609060101010101"/>
    <w:charset w:val="86"/>
    <w:family w:val="auto"/>
    <w:pitch w:val="default"/>
    <w:sig w:usb0="800002BF" w:usb1="38CF7CFA" w:usb2="00000016" w:usb3="00000000" w:csb0="00040001" w:csb1="00000000"/>
    <w:embedRegular r:id="rId2" w:fontKey="{329212E1-268D-44A6-B15B-D1DD544E3EB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3" w:fontKey="{6B5D399C-4E5B-4B23-BA48-49A98277E68C}"/>
  </w:font>
  <w:font w:name="微软雅黑">
    <w:panose1 w:val="020B0503020204020204"/>
    <w:charset w:val="86"/>
    <w:family w:val="swiss"/>
    <w:pitch w:val="default"/>
    <w:sig w:usb0="80000287" w:usb1="2ACF3C50" w:usb2="00000016" w:usb3="00000000" w:csb0="0004001F" w:csb1="00000000"/>
    <w:embedRegular r:id="rId4" w:fontKey="{A451C5D6-9792-4CC5-A2A4-04B990B7391E}"/>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1EBC15">
    <w:pPr>
      <w:pStyle w:val="6"/>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67818">
    <w:pPr>
      <w:pStyle w:val="6"/>
      <w:spacing w:line="235" w:lineRule="exact"/>
      <w:ind w:left="4483"/>
      <w:rPr>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DF5ABF">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14:paraId="37DF5ABF">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F9513">
    <w:pPr>
      <w:spacing w:line="315" w:lineRule="exact"/>
      <w:ind w:left="4741"/>
      <w:rPr>
        <w:rFonts w:hint="eastAsia" w:ascii="微软雅黑" w:hAnsi="微软雅黑" w:eastAsia="微软雅黑" w:cs="微软雅黑"/>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4505B9">
                          <w:pPr>
                            <w:pStyle w:val="12"/>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svHiUt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3V+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svHiUtAgAAVwQAAA4AAAAAAAAAAQAgAAAAHwEAAGRycy9lMm9Eb2MueG1sUEsFBgAAAAAG&#10;AAYAWQEAAL4FAAAAAA==&#10;">
              <v:fill on="f" focussize="0,0"/>
              <v:stroke on="f" weight="0.5pt"/>
              <v:imagedata o:title=""/>
              <o:lock v:ext="edit" aspectratio="f"/>
              <v:textbox inset="0mm,0mm,0mm,0mm" style="mso-fit-shape-to-text:t;">
                <w:txbxContent>
                  <w:p w14:paraId="7A4505B9">
                    <w:pPr>
                      <w:pStyle w:val="12"/>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C7AD4D">
    <w:pPr>
      <w:pStyle w:val="6"/>
      <w:spacing w:line="235" w:lineRule="exact"/>
      <w:ind w:left="4370"/>
      <w:rPr>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03D523">
                          <w:pPr>
                            <w:pStyle w:val="12"/>
                          </w:pPr>
                          <w:r>
                            <w:fldChar w:fldCharType="begin"/>
                          </w:r>
                          <w:r>
                            <w:instrText xml:space="preserve"> PAGE  \* MERGEFORMAT </w:instrText>
                          </w:r>
                          <w:r>
                            <w:fldChar w:fldCharType="separate"/>
                          </w:r>
                          <w:r>
                            <w:t>63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P56+Us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nr5SwCAABXBAAADgAAAAAAAAABACAAAAAfAQAAZHJzL2Uyb0RvYy54bWxQSwUGAAAAAAYA&#10;BgBZAQAAvQUAAAAA&#10;">
              <v:fill on="f" focussize="0,0"/>
              <v:stroke on="f" weight="0.5pt"/>
              <v:imagedata o:title=""/>
              <o:lock v:ext="edit" aspectratio="f"/>
              <v:textbox inset="0mm,0mm,0mm,0mm" style="mso-fit-shape-to-text:t;">
                <w:txbxContent>
                  <w:p w14:paraId="3103D523">
                    <w:pPr>
                      <w:pStyle w:val="12"/>
                    </w:pPr>
                    <w:r>
                      <w:fldChar w:fldCharType="begin"/>
                    </w:r>
                    <w:r>
                      <w:instrText xml:space="preserve"> PAGE  \* MERGEFORMAT </w:instrText>
                    </w:r>
                    <w:r>
                      <w:fldChar w:fldCharType="separate"/>
                    </w:r>
                    <w:r>
                      <w:t>63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687535">
    <w:pPr>
      <w:pStyle w:val="6"/>
      <w:spacing w:line="235" w:lineRule="exact"/>
      <w:ind w:left="4407"/>
      <w:rPr>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262725">
                          <w:pPr>
                            <w:pStyle w:val="12"/>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0uKUt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u0uKUtAgAAVwQAAA4AAAAAAAAAAQAgAAAAHwEAAGRycy9lMm9Eb2MueG1sUEsFBgAAAAAG&#10;AAYAWQEAAL4FAAAAAA==&#10;">
              <v:fill on="f" focussize="0,0"/>
              <v:stroke on="f" weight="0.5pt"/>
              <v:imagedata o:title=""/>
              <o:lock v:ext="edit" aspectratio="f"/>
              <v:textbox inset="0mm,0mm,0mm,0mm" style="mso-fit-shape-to-text:t;">
                <w:txbxContent>
                  <w:p w14:paraId="5C262725">
                    <w:pPr>
                      <w:pStyle w:val="12"/>
                    </w:pPr>
                    <w:r>
                      <w:fldChar w:fldCharType="begin"/>
                    </w:r>
                    <w:r>
                      <w:instrText xml:space="preserve"> PAGE  \* MERGEFORMAT </w:instrText>
                    </w:r>
                    <w:r>
                      <w:fldChar w:fldCharType="separate"/>
                    </w:r>
                    <w:r>
                      <w:t>78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666B8">
    <w:pPr>
      <w:pStyle w:val="6"/>
      <w:spacing w:line="184" w:lineRule="auto"/>
      <w:ind w:left="4396"/>
      <w:rPr>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FCA665">
                          <w:pPr>
                            <w:pStyle w:val="12"/>
                          </w:pPr>
                          <w:r>
                            <w:fldChar w:fldCharType="begin"/>
                          </w:r>
                          <w:r>
                            <w:instrText xml:space="preserve"> PAGE  \* MERGEFORMAT </w:instrText>
                          </w:r>
                          <w:r>
                            <w:fldChar w:fldCharType="separate"/>
                          </w:r>
                          <w:r>
                            <w:t>86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E1eNA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sTV40CwCAABXBAAADgAAAAAAAAABACAAAAAfAQAAZHJzL2Uyb0RvYy54bWxQSwUGAAAAAAYA&#10;BgBZAQAAvQUAAAAA&#10;">
              <v:fill on="f" focussize="0,0"/>
              <v:stroke on="f" weight="0.5pt"/>
              <v:imagedata o:title=""/>
              <o:lock v:ext="edit" aspectratio="f"/>
              <v:textbox inset="0mm,0mm,0mm,0mm" style="mso-fit-shape-to-text:t;">
                <w:txbxContent>
                  <w:p w14:paraId="49FCA665">
                    <w:pPr>
                      <w:pStyle w:val="12"/>
                    </w:pPr>
                    <w:r>
                      <w:fldChar w:fldCharType="begin"/>
                    </w:r>
                    <w:r>
                      <w:instrText xml:space="preserve"> PAGE  \* MERGEFORMAT </w:instrText>
                    </w:r>
                    <w:r>
                      <w:fldChar w:fldCharType="separate"/>
                    </w:r>
                    <w:r>
                      <w:t>86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DC2562">
    <w:pPr>
      <w:pStyle w:val="6"/>
      <w:spacing w:line="14" w:lineRule="auto"/>
      <w:rPr>
        <w:sz w:val="2"/>
      </w:rPr>
    </w:pPr>
    <w:r>
      <w:rPr>
        <w:sz w:val="2"/>
      </w:rPr>
      <mc:AlternateContent>
        <mc:Choice Requires="wps">
          <w:drawing>
            <wp:anchor distT="0" distB="0" distL="114300" distR="114300" simplePos="0" relativeHeight="251664384" behindDoc="0" locked="0" layoutInCell="1" allowOverlap="1">
              <wp:simplePos x="0" y="0"/>
              <wp:positionH relativeFrom="margin">
                <wp:posOffset>2805430</wp:posOffset>
              </wp:positionH>
              <wp:positionV relativeFrom="paragraph">
                <wp:posOffset>-233680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5D7587">
                          <w:pPr>
                            <w:pStyle w:val="12"/>
                          </w:pPr>
                          <w:r>
                            <w:fldChar w:fldCharType="begin"/>
                          </w:r>
                          <w:r>
                            <w:instrText xml:space="preserve"> PAGE  \* MERGEFORMAT </w:instrText>
                          </w:r>
                          <w:r>
                            <w:fldChar w:fldCharType="separate"/>
                          </w:r>
                          <w:r>
                            <w:t>93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20.9pt;margin-top:-18.4pt;height:144pt;width:144pt;mso-position-horizontal-relative:margin;mso-wrap-style:none;z-index:251664384;mso-width-relative:page;mso-height-relative:page;" filled="f" stroked="f" coordsize="21600,21600" o:gfxdata="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H8QLM2AAAAAsBAAAPAAAAAAAAAAEAIAAAACIAAABkcnMvZG93bnJldi54bWxQSwEC&#10;FAAUAAAACACHTuJAGXgrkC0CAABXBAAADgAAAAAAAAABACAAAAAnAQAAZHJzL2Uyb0RvYy54bWxQ&#10;SwUGAAAAAAYABgBZAQAAxgUAAAAA&#10;">
              <v:fill on="f" focussize="0,0"/>
              <v:stroke on="f" weight="0.5pt"/>
              <v:imagedata o:title=""/>
              <o:lock v:ext="edit" aspectratio="f"/>
              <v:textbox inset="0mm,0mm,0mm,0mm" style="mso-fit-shape-to-text:t;">
                <w:txbxContent>
                  <w:p w14:paraId="165D7587">
                    <w:pPr>
                      <w:pStyle w:val="12"/>
                    </w:pPr>
                    <w:r>
                      <w:fldChar w:fldCharType="begin"/>
                    </w:r>
                    <w:r>
                      <w:instrText xml:space="preserve"> PAGE  \* MERGEFORMAT </w:instrText>
                    </w:r>
                    <w:r>
                      <w:fldChar w:fldCharType="separate"/>
                    </w:r>
                    <w:r>
                      <w:t>93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806B1">
    <w:pPr>
      <w:pStyle w:val="6"/>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9EF45F"/>
    <w:multiLevelType w:val="singleLevel"/>
    <w:tmpl w:val="F19EF45F"/>
    <w:lvl w:ilvl="0" w:tentative="0">
      <w:start w:val="2"/>
      <w:numFmt w:val="chineseCounting"/>
      <w:suff w:val="nothing"/>
      <w:lvlText w:val="（%1）"/>
      <w:lvlJc w:val="left"/>
      <w:rPr>
        <w:rFonts w:hint="eastAsia"/>
      </w:rPr>
    </w:lvl>
  </w:abstractNum>
  <w:abstractNum w:abstractNumId="1">
    <w:nsid w:val="251AED27"/>
    <w:multiLevelType w:val="singleLevel"/>
    <w:tmpl w:val="251AED27"/>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displayBackgroundShape w:val="1"/>
  <w:embedTrueTypeFonts/>
  <w:saveSubset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C07"/>
    <w:rsid w:val="00012D2F"/>
    <w:rsid w:val="00065AA3"/>
    <w:rsid w:val="000959BF"/>
    <w:rsid w:val="00097067"/>
    <w:rsid w:val="000A432E"/>
    <w:rsid w:val="000A48F6"/>
    <w:rsid w:val="000C34DC"/>
    <w:rsid w:val="000E10D3"/>
    <w:rsid w:val="00173A76"/>
    <w:rsid w:val="001A2BB8"/>
    <w:rsid w:val="001F76CE"/>
    <w:rsid w:val="002440DB"/>
    <w:rsid w:val="00282255"/>
    <w:rsid w:val="00322E8F"/>
    <w:rsid w:val="00337464"/>
    <w:rsid w:val="003508AF"/>
    <w:rsid w:val="003E0F21"/>
    <w:rsid w:val="003F6806"/>
    <w:rsid w:val="004067DE"/>
    <w:rsid w:val="00433E3B"/>
    <w:rsid w:val="004778CA"/>
    <w:rsid w:val="00483917"/>
    <w:rsid w:val="00515E39"/>
    <w:rsid w:val="005274F6"/>
    <w:rsid w:val="00553C21"/>
    <w:rsid w:val="005A0EEF"/>
    <w:rsid w:val="005C6CE9"/>
    <w:rsid w:val="00667B57"/>
    <w:rsid w:val="006B45BB"/>
    <w:rsid w:val="006C6CD1"/>
    <w:rsid w:val="00713F8E"/>
    <w:rsid w:val="0076577A"/>
    <w:rsid w:val="007B76C5"/>
    <w:rsid w:val="0088567A"/>
    <w:rsid w:val="00887F4B"/>
    <w:rsid w:val="00896AAE"/>
    <w:rsid w:val="008D3114"/>
    <w:rsid w:val="008E7253"/>
    <w:rsid w:val="0093035D"/>
    <w:rsid w:val="009627C2"/>
    <w:rsid w:val="00A12B29"/>
    <w:rsid w:val="00A506DE"/>
    <w:rsid w:val="00AA3ECC"/>
    <w:rsid w:val="00B674AD"/>
    <w:rsid w:val="00BB0378"/>
    <w:rsid w:val="00C73541"/>
    <w:rsid w:val="00C760C1"/>
    <w:rsid w:val="00CF2C97"/>
    <w:rsid w:val="00CF3856"/>
    <w:rsid w:val="00CF570E"/>
    <w:rsid w:val="00D721AB"/>
    <w:rsid w:val="00D84C07"/>
    <w:rsid w:val="00D84EEE"/>
    <w:rsid w:val="00D978C5"/>
    <w:rsid w:val="00DC4EB7"/>
    <w:rsid w:val="00E0622C"/>
    <w:rsid w:val="00E06B76"/>
    <w:rsid w:val="00F31401"/>
    <w:rsid w:val="00F55617"/>
    <w:rsid w:val="00F95809"/>
    <w:rsid w:val="023742A9"/>
    <w:rsid w:val="02CA0250"/>
    <w:rsid w:val="02DA6B1F"/>
    <w:rsid w:val="02E32F3C"/>
    <w:rsid w:val="03A12234"/>
    <w:rsid w:val="040556EB"/>
    <w:rsid w:val="11D3109D"/>
    <w:rsid w:val="12182C35"/>
    <w:rsid w:val="14A66301"/>
    <w:rsid w:val="14A70065"/>
    <w:rsid w:val="187F27D4"/>
    <w:rsid w:val="18C6240B"/>
    <w:rsid w:val="1BB820CC"/>
    <w:rsid w:val="1D5929B3"/>
    <w:rsid w:val="1E6E02FD"/>
    <w:rsid w:val="1E876847"/>
    <w:rsid w:val="26E140D5"/>
    <w:rsid w:val="29084143"/>
    <w:rsid w:val="2A4C182B"/>
    <w:rsid w:val="2A994305"/>
    <w:rsid w:val="2B7567DF"/>
    <w:rsid w:val="2C3C63F1"/>
    <w:rsid w:val="2D9A4432"/>
    <w:rsid w:val="2FAE7598"/>
    <w:rsid w:val="33054A71"/>
    <w:rsid w:val="333034FF"/>
    <w:rsid w:val="34AE517E"/>
    <w:rsid w:val="34FC3BE5"/>
    <w:rsid w:val="35DB21A8"/>
    <w:rsid w:val="366C374B"/>
    <w:rsid w:val="37AE5911"/>
    <w:rsid w:val="37D41FA5"/>
    <w:rsid w:val="392A7355"/>
    <w:rsid w:val="3E06185A"/>
    <w:rsid w:val="469F3D6C"/>
    <w:rsid w:val="47CA6810"/>
    <w:rsid w:val="47FC26B3"/>
    <w:rsid w:val="497A4499"/>
    <w:rsid w:val="4AA01582"/>
    <w:rsid w:val="513271C7"/>
    <w:rsid w:val="536D0B6C"/>
    <w:rsid w:val="54EA7388"/>
    <w:rsid w:val="58F4455F"/>
    <w:rsid w:val="59EE481A"/>
    <w:rsid w:val="5A2F4939"/>
    <w:rsid w:val="5D630543"/>
    <w:rsid w:val="5EE80E9D"/>
    <w:rsid w:val="61DA3201"/>
    <w:rsid w:val="62760C1C"/>
    <w:rsid w:val="63AE21CA"/>
    <w:rsid w:val="66B569AC"/>
    <w:rsid w:val="680D3FF1"/>
    <w:rsid w:val="69620623"/>
    <w:rsid w:val="69A17D7F"/>
    <w:rsid w:val="6B480E55"/>
    <w:rsid w:val="6BE84CD2"/>
    <w:rsid w:val="70F24064"/>
    <w:rsid w:val="71EF37BC"/>
    <w:rsid w:val="790F15FE"/>
    <w:rsid w:val="7D606B79"/>
    <w:rsid w:val="7F403EC5"/>
    <w:rsid w:val="7FCF0A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eastAsia="黑体"/>
      <w:b/>
      <w:sz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8"/>
    <w:qFormat/>
    <w:uiPriority w:val="0"/>
  </w:style>
  <w:style w:type="paragraph" w:styleId="6">
    <w:name w:val="Body Text"/>
    <w:basedOn w:val="1"/>
    <w:next w:val="7"/>
    <w:link w:val="25"/>
    <w:qFormat/>
    <w:uiPriority w:val="0"/>
  </w:style>
  <w:style w:type="paragraph" w:styleId="7">
    <w:name w:val="Body Text First Indent"/>
    <w:basedOn w:val="6"/>
    <w:next w:val="8"/>
    <w:qFormat/>
    <w:uiPriority w:val="0"/>
    <w:pPr>
      <w:ind w:firstLine="420" w:firstLineChars="100"/>
    </w:pPr>
  </w:style>
  <w:style w:type="paragraph" w:styleId="8">
    <w:name w:val="Body Text First Indent 2"/>
    <w:basedOn w:val="9"/>
    <w:qFormat/>
    <w:uiPriority w:val="0"/>
    <w:pPr>
      <w:ind w:firstLine="420"/>
    </w:pPr>
  </w:style>
  <w:style w:type="paragraph" w:styleId="9">
    <w:name w:val="Body Text Indent"/>
    <w:basedOn w:val="1"/>
    <w:qFormat/>
    <w:uiPriority w:val="0"/>
    <w:pPr>
      <w:spacing w:line="360" w:lineRule="auto"/>
      <w:ind w:firstLine="560" w:firstLineChars="200"/>
    </w:pPr>
    <w:rPr>
      <w:sz w:val="28"/>
    </w:rPr>
  </w:style>
  <w:style w:type="paragraph" w:styleId="10">
    <w:name w:val="toc 3"/>
    <w:basedOn w:val="1"/>
    <w:next w:val="1"/>
    <w:qFormat/>
    <w:uiPriority w:val="0"/>
    <w:pPr>
      <w:ind w:left="840" w:leftChars="400"/>
    </w:pPr>
  </w:style>
  <w:style w:type="paragraph" w:styleId="11">
    <w:name w:val="Plain Text"/>
    <w:basedOn w:val="1"/>
    <w:qFormat/>
    <w:uiPriority w:val="0"/>
    <w:rPr>
      <w:rFonts w:ascii="宋体" w:hAnsi="Courier New" w:cs="Courier New"/>
    </w:rPr>
  </w:style>
  <w:style w:type="paragraph" w:styleId="12">
    <w:name w:val="footer"/>
    <w:basedOn w:val="1"/>
    <w:qFormat/>
    <w:uiPriority w:val="0"/>
    <w:pPr>
      <w:tabs>
        <w:tab w:val="center" w:pos="4153"/>
        <w:tab w:val="right" w:pos="8306"/>
      </w:tabs>
    </w:pPr>
    <w:rPr>
      <w:sz w:val="18"/>
    </w:rPr>
  </w:style>
  <w:style w:type="paragraph" w:styleId="13">
    <w:name w:val="toc 1"/>
    <w:basedOn w:val="1"/>
    <w:next w:val="1"/>
    <w:qFormat/>
    <w:uiPriority w:val="0"/>
  </w:style>
  <w:style w:type="paragraph" w:styleId="14">
    <w:name w:val="toc 2"/>
    <w:basedOn w:val="1"/>
    <w:next w:val="1"/>
    <w:qFormat/>
    <w:uiPriority w:val="0"/>
    <w:pPr>
      <w:ind w:left="420" w:leftChars="200"/>
    </w:pPr>
  </w:style>
  <w:style w:type="paragraph" w:styleId="15">
    <w:name w:val="Body Text 2"/>
    <w:basedOn w:val="1"/>
    <w:unhideWhenUsed/>
    <w:qFormat/>
    <w:uiPriority w:val="99"/>
    <w:pPr>
      <w:spacing w:after="120" w:line="480" w:lineRule="auto"/>
    </w:pPr>
  </w:style>
  <w:style w:type="paragraph" w:styleId="16">
    <w:name w:val="annotation subject"/>
    <w:basedOn w:val="5"/>
    <w:next w:val="5"/>
    <w:link w:val="29"/>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annotation reference"/>
    <w:basedOn w:val="19"/>
    <w:qFormat/>
    <w:uiPriority w:val="0"/>
    <w:rPr>
      <w:sz w:val="21"/>
      <w:szCs w:val="21"/>
    </w:rPr>
  </w:style>
  <w:style w:type="paragraph" w:customStyle="1" w:styleId="21">
    <w:name w:val="样式 标题 3 + 首行缩进:  2 字符"/>
    <w:basedOn w:val="4"/>
    <w:next w:val="1"/>
    <w:qFormat/>
    <w:uiPriority w:val="0"/>
    <w:pPr>
      <w:spacing w:before="0" w:after="0" w:line="480" w:lineRule="exact"/>
    </w:pPr>
    <w:rPr>
      <w:rFonts w:eastAsia="宋体"/>
      <w:sz w:val="28"/>
      <w:szCs w:val="28"/>
      <w:lang w:bidi="ar-DZ"/>
    </w:rPr>
  </w:style>
  <w:style w:type="table" w:customStyle="1" w:styleId="22">
    <w:name w:val="Table Normal"/>
    <w:semiHidden/>
    <w:unhideWhenUsed/>
    <w:qFormat/>
    <w:uiPriority w:val="0"/>
    <w:tblPr>
      <w:tblCellMar>
        <w:top w:w="0" w:type="dxa"/>
        <w:left w:w="0" w:type="dxa"/>
        <w:bottom w:w="0" w:type="dxa"/>
        <w:right w:w="0" w:type="dxa"/>
      </w:tblCellMar>
    </w:tblPr>
  </w:style>
  <w:style w:type="paragraph" w:customStyle="1" w:styleId="23">
    <w:name w:val="Table Text"/>
    <w:basedOn w:val="1"/>
    <w:semiHidden/>
    <w:qFormat/>
    <w:uiPriority w:val="0"/>
    <w:rPr>
      <w:rFonts w:ascii="宋体" w:hAnsi="宋体" w:eastAsia="宋体" w:cs="宋体"/>
      <w:sz w:val="19"/>
      <w:szCs w:val="19"/>
    </w:rPr>
  </w:style>
  <w:style w:type="character" w:customStyle="1" w:styleId="24">
    <w:name w:val="font01"/>
    <w:basedOn w:val="19"/>
    <w:qFormat/>
    <w:uiPriority w:val="0"/>
    <w:rPr>
      <w:rFonts w:hint="eastAsia" w:ascii="宋体" w:hAnsi="宋体" w:eastAsia="宋体" w:cs="宋体"/>
      <w:color w:val="000000"/>
      <w:sz w:val="24"/>
      <w:szCs w:val="24"/>
      <w:u w:val="none"/>
    </w:rPr>
  </w:style>
  <w:style w:type="character" w:customStyle="1" w:styleId="25">
    <w:name w:val="正文文本 字符"/>
    <w:link w:val="6"/>
    <w:qFormat/>
    <w:uiPriority w:val="0"/>
    <w:rPr>
      <w:rFonts w:ascii="Arial" w:hAnsi="Arial" w:eastAsia="Arial" w:cs="Arial"/>
      <w:sz w:val="21"/>
      <w:szCs w:val="21"/>
      <w:lang w:val="en-US" w:eastAsia="en-US" w:bidi="ar-SA"/>
    </w:rPr>
  </w:style>
  <w:style w:type="paragraph" w:customStyle="1" w:styleId="26">
    <w:name w:val="_Style 324"/>
    <w:basedOn w:val="6"/>
    <w:next w:val="7"/>
    <w:qFormat/>
    <w:uiPriority w:val="0"/>
    <w:pPr>
      <w:spacing w:line="400" w:lineRule="exact"/>
      <w:ind w:firstLine="200" w:firstLineChars="200"/>
    </w:pPr>
    <w:rPr>
      <w:rFonts w:ascii="宋体" w:hAnsi="宋体"/>
      <w:sz w:val="24"/>
      <w:szCs w:val="24"/>
    </w:rPr>
  </w:style>
  <w:style w:type="character" w:customStyle="1" w:styleId="27">
    <w:name w:val="font41"/>
    <w:basedOn w:val="19"/>
    <w:qFormat/>
    <w:uiPriority w:val="0"/>
    <w:rPr>
      <w:rFonts w:hint="eastAsia" w:ascii="宋体" w:hAnsi="宋体" w:eastAsia="宋体" w:cs="宋体"/>
      <w:color w:val="000000"/>
      <w:sz w:val="22"/>
      <w:szCs w:val="22"/>
      <w:u w:val="none"/>
    </w:rPr>
  </w:style>
  <w:style w:type="character" w:customStyle="1" w:styleId="28">
    <w:name w:val="批注文字 字符"/>
    <w:basedOn w:val="19"/>
    <w:link w:val="5"/>
    <w:qFormat/>
    <w:uiPriority w:val="0"/>
    <w:rPr>
      <w:rFonts w:ascii="Arial" w:hAnsi="Arial" w:eastAsia="Arial" w:cs="Arial"/>
      <w:snapToGrid w:val="0"/>
      <w:color w:val="000000"/>
      <w:sz w:val="21"/>
      <w:szCs w:val="21"/>
      <w:lang w:eastAsia="en-US"/>
    </w:rPr>
  </w:style>
  <w:style w:type="character" w:customStyle="1" w:styleId="29">
    <w:name w:val="批注主题 字符"/>
    <w:basedOn w:val="28"/>
    <w:link w:val="16"/>
    <w:qFormat/>
    <w:uiPriority w:val="0"/>
    <w:rPr>
      <w:rFonts w:ascii="Arial" w:hAnsi="Arial" w:eastAsia="Arial" w:cs="Arial"/>
      <w:b/>
      <w:bCs/>
      <w:snapToGrid w:val="0"/>
      <w:color w:val="000000"/>
      <w:sz w:val="21"/>
      <w:szCs w:val="21"/>
      <w:lang w:eastAsia="en-US"/>
    </w:rPr>
  </w:style>
  <w:style w:type="paragraph" w:styleId="30">
    <w:name w:val="List Paragraph"/>
    <w:basedOn w:val="1"/>
    <w:unhideWhenUsed/>
    <w:qFormat/>
    <w:uiPriority w:val="99"/>
    <w:pPr>
      <w:ind w:firstLine="420" w:firstLineChars="200"/>
    </w:pPr>
  </w:style>
  <w:style w:type="character" w:customStyle="1" w:styleId="31">
    <w:name w:val="font61"/>
    <w:basedOn w:val="19"/>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4.jpe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jpeg"/><Relationship Id="rId20" Type="http://schemas.openxmlformats.org/officeDocument/2006/relationships/image" Target="media/image9.jpeg"/><Relationship Id="rId2" Type="http://schemas.openxmlformats.org/officeDocument/2006/relationships/settings" Target="settings.xml"/><Relationship Id="rId19" Type="http://schemas.openxmlformats.org/officeDocument/2006/relationships/image" Target="media/image8.jpeg"/><Relationship Id="rId18" Type="http://schemas.openxmlformats.org/officeDocument/2006/relationships/image" Target="media/image7.jpeg"/><Relationship Id="rId17" Type="http://schemas.openxmlformats.org/officeDocument/2006/relationships/image" Target="media/image6.jpeg"/><Relationship Id="rId16" Type="http://schemas.openxmlformats.org/officeDocument/2006/relationships/image" Target="media/image5.jpe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88</Pages>
  <Words>13169</Words>
  <Characters>15229</Characters>
  <Lines>2630</Lines>
  <Paragraphs>2400</Paragraphs>
  <TotalTime>14</TotalTime>
  <ScaleCrop>false</ScaleCrop>
  <LinksUpToDate>false</LinksUpToDate>
  <CharactersWithSpaces>15437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2025-12-06T03:02:00Z</dcterms:created>
  <dc:creator>Lenovo</dc:creator>
  <cp:lastModifiedBy>WPS_1678070868</cp:lastModifiedBy>
  <cp:lastPrinted>2025-12-01T03:32:00Z</cp:lastPrinted>
  <dcterms:modified xsi:type="dcterms:W3CDTF">2026-02-03T02:19:09Z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2025-12-01T09:27:07Z</vt:filetime>
  </property>
  <property fmtid="{D5CDD505-2E9C-101B-9397-08002B2CF9AE}" pid="4" name="KSOTemplateDocerSaveRecord">
    <vt:lpwstr>eyJoZGlkIjoiY2UzOTRmOWEyNmNlNDQyYWQyYmNiMjFlMGZlN2FiYjciLCJ1c2VySWQiOiIxNDc4ODExMTUwIn0=</vt:lpwstr>
  </property>
  <property fmtid="{D5CDD505-2E9C-101B-9397-08002B2CF9AE}" pid="5" name="KSOProductBuildVer">
    <vt:lpwstr>2052-12.1.0.25225</vt:lpwstr>
  </property>
  <property fmtid="{D5CDD505-2E9C-101B-9397-08002B2CF9AE}" pid="6" name="ICV">
    <vt:lpwstr>A345424D94B9437EA58F47F73C76C383_13</vt:lpwstr>
  </property>
</Properties>
</file>