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B9B277">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rPr>
      </w:pPr>
      <w:r>
        <w:rPr>
          <w:rFonts w:hint="default" w:ascii="Times New Roman" w:hAnsi="Times New Roman" w:eastAsia="黑体" w:cs="Times New Roman"/>
          <w:sz w:val="32"/>
          <w:szCs w:val="32"/>
        </w:rPr>
        <w:t>附件1：</w:t>
      </w:r>
    </w:p>
    <w:p w14:paraId="1A38AA58">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rPr>
      </w:pPr>
    </w:p>
    <w:p w14:paraId="51A2B21C">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《格尔木市建设工程规划许可豁免清单》</w:t>
      </w:r>
    </w:p>
    <w:p w14:paraId="52ECD9F0">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（征求意见稿）</w:t>
      </w:r>
    </w:p>
    <w:p w14:paraId="20F91E66">
      <w:pPr>
        <w:rPr>
          <w:rFonts w:hint="eastAsia"/>
        </w:rPr>
      </w:pPr>
    </w:p>
    <w:p w14:paraId="1BD6C09C">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一、豁免方式</w:t>
      </w:r>
    </w:p>
    <w:p w14:paraId="2F1FB32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（一）豁免清单分为免于办理建设工程规划许可手续和无需办理建设工程规划许可手续两</w:t>
      </w:r>
      <w:bookmarkStart w:id="0" w:name="_GoBack"/>
      <w:bookmarkEnd w:id="0"/>
      <w:r>
        <w:rPr>
          <w:rFonts w:hint="default" w:ascii="Times New Roman" w:hAnsi="Times New Roman" w:eastAsia="仿宋_GB2312" w:cs="Times New Roman"/>
          <w:sz w:val="32"/>
          <w:szCs w:val="32"/>
        </w:rPr>
        <w:t>类。</w:t>
      </w:r>
    </w:p>
    <w:p w14:paraId="0FD2644A">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（二）免于办理建设工程规划许可手续的项目，免于审查建设工程设计方案，并免于核发建设工程规划许可手续。</w:t>
      </w:r>
    </w:p>
    <w:p w14:paraId="4DD4BA44">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（三）明确无需办理建设工程规划许可手续的情形。</w:t>
      </w:r>
    </w:p>
    <w:p w14:paraId="2CA36B15">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二、按照现行城乡规划法律法规的规定，下列建设项目因尚未明确纳入规划管理的范畴，无需办理建设工程规划许可手续</w:t>
      </w:r>
    </w:p>
    <w:p w14:paraId="28B0FBC0">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（一）城市内涉及市政道路、公园等景观绿化及为园林绿化服务的附属设施提升改造工程。</w:t>
      </w:r>
    </w:p>
    <w:p w14:paraId="78203EE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（二）不增加建筑面积、建筑高度、建筑层数、不增设夹层，不改变建筑主体结构，不涉及改变建筑用途及整体外立面的既有建筑室内装修（改造）、夜景工程等（但属历史保护区、拆除重建的除外）。</w:t>
      </w:r>
    </w:p>
    <w:p w14:paraId="7FAE68E3">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（三）既有建设用地红线范围内实施的室外体育设施（含露天篮球场、露天足球场）、室外健身场、体育跑道、无基础看台（包含周边围护结构如铁丝网、护栏）等设施。</w:t>
      </w:r>
    </w:p>
    <w:p w14:paraId="0E99AF6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各类无基础、可移动或可拆卸设施，且不占用公共道路空间的公益性设施。如公交车站(亭)、报刊亭、移动警务室、图书阅览设施、儿童游憩设施、微型消防站及其消防器材柜、环卫工人休息室，移动公厕、非机动车停车设施等。</w:t>
      </w:r>
    </w:p>
    <w:p w14:paraId="3FC2BC4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（五）除独立占地集中式充（换）电站以外的电动自行车、机动车充（换）电设施。</w:t>
      </w:r>
    </w:p>
    <w:p w14:paraId="3E442913">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（六）大型场馆内部为会议、展览等活动搭建的临时性设施。</w:t>
      </w:r>
    </w:p>
    <w:p w14:paraId="7790111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（七）已经批准的修建性详细规划（建设工程设计方案、建设项目总平面图）中确定的道路出入口。</w:t>
      </w:r>
    </w:p>
    <w:p w14:paraId="772E5CE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三、下列建设工程，免于办理建设工程规划许可手续</w:t>
      </w:r>
    </w:p>
    <w:p w14:paraId="03BD44B7">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（一）城市更新类、既有建（构）筑物改造类</w:t>
      </w:r>
    </w:p>
    <w:p w14:paraId="1D519AF1">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在已经城乡规划主管部门审定修建性详细规划（建设工程设计方案总平面图）里，增设非经营性、用于休憩的亭、台、廊、榭、公共厕所、围墙、景观水池、内部道路、小桥(涵)、雕塑和园林小品、人行道铺装、路面修复海绵化改造等建（构）筑物。</w:t>
      </w:r>
    </w:p>
    <w:p w14:paraId="0616DB5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不增加建筑面积、不改变建筑主体结构、不涉及改变外立面的城镇老旧小区改造、街巷整治、庭院改善、小区内部综合整治、屋顶整治（含平改坡）、农贸市场、环卫设施（包含公厕、道班房、车场等）等改造提升项目（但属历史保护区、拆除重建的除外）。</w:t>
      </w:r>
    </w:p>
    <w:p w14:paraId="78E7C9E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3.老旧小区住宅加装电梯；结合老旧小区改造设置并按照机械设备安装管理的机械式立体停车设备。</w:t>
      </w:r>
    </w:p>
    <w:p w14:paraId="38BB8ED9">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4.建设项目用地红线范围内且不涉及市政道路的管线、道路工程，如老旧小区二次供水、排水、电力、通信、燃气等管线改造及低压片区供水设施改造涉及的道路临时开挖工程。</w:t>
      </w:r>
    </w:p>
    <w:p w14:paraId="3B7CC731">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5.用于安装、衔接市政管网设施的接入接出管、地下构筑物以及化粪池、污水处理池、消防水池等附属设施。</w:t>
      </w:r>
    </w:p>
    <w:p w14:paraId="01B324AA">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6.在建项目建设用地红线范围内，竣工前拆除（移除）的临时施工工棚、临时售楼处、施工围墙、临时出入口及其他不涉及土建工程的临时性用房。</w:t>
      </w:r>
    </w:p>
    <w:p w14:paraId="64FB6E22">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7.已审定的修建性详细规划或总平面图已有定位的垃圾站及在原址进行改建的公厕、垃圾站等公益性设施工程。</w:t>
      </w:r>
    </w:p>
    <w:p w14:paraId="0F6C5F90">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（二）建成区市政、线性工程改造提升类</w:t>
      </w:r>
    </w:p>
    <w:p w14:paraId="3B71D6DA">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1.建成区内的道路、堤岸、桥梁、水渠、河道的维护整修加固工程。</w:t>
      </w:r>
    </w:p>
    <w:p w14:paraId="454764E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2.绿化工程及不增加建筑面积、不影响城市景观和他人物权的用于绿化种植的构筑物。</w:t>
      </w:r>
    </w:p>
    <w:p w14:paraId="772DABF9">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3.不涉及道路红线、桥梁线形、断面和控制标高的市政整治出新工程。</w:t>
      </w:r>
    </w:p>
    <w:p w14:paraId="2B6AB4E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4.市政道路内既有管线进行维修、更换、扩容且不新增管位的管线项目，用于安装、衔接市政管网设施的地面箱柜及地下构筑物。</w:t>
      </w:r>
    </w:p>
    <w:p w14:paraId="569B6094">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5.随新（改、扩）建市政道路同步敷设的管线工程。</w:t>
      </w:r>
    </w:p>
    <w:p w14:paraId="5FC17651">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（三）设备、设施类</w:t>
      </w:r>
    </w:p>
    <w:p w14:paraId="6FF0CFD3">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1.不改变原建筑使用功能、不增加建筑面积的纯设备新建及更新项目。</w:t>
      </w:r>
    </w:p>
    <w:p w14:paraId="6A12AA43">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2.自有建设用地红线范围内，增设或更新消防通道标识、垃圾分类收集点、信报箱、快递柜、非机动车停车棚、一体化洗车设备等便民服务设施。</w:t>
      </w:r>
    </w:p>
    <w:p w14:paraId="4F3783BB">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3.路灯、路标、路牌、垃圾回收箱、路边小品及灯光、旗杆等设施，及用于安装灯光、旗杆、音像等设施的基座、建筑构件等。</w:t>
      </w:r>
    </w:p>
    <w:p w14:paraId="3AA3BA5A">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4.设置在项目地块内，且不影响公共空间及公共绿地的新建通信设施，包括电信设施、无线电发射设施、非经营性环境监测设施，宏基站、独立建设的汇聚机房、光交接箱等。</w:t>
      </w:r>
    </w:p>
    <w:p w14:paraId="1150C6B1">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5.为安装安全防护设施、竖向管道、幕墙清洁吊塔、空调等而建造的构筑物、支架。</w:t>
      </w:r>
    </w:p>
    <w:p w14:paraId="4FBF4D7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6.用于商业推广、文化活动的临时性构筑物和展销设施，设置期限一般不超过3个月。</w:t>
      </w:r>
    </w:p>
    <w:p w14:paraId="31EE5B66">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7.规划审批手续齐全的已批加油站、加气站、油气合建站、加能站项目，在满足安全间距和消防要求的前提下，增设简易洗车房、储气/油罐、储油池等设施设备，以及加油加气纯设备设施改造工程。</w:t>
      </w:r>
    </w:p>
    <w:p w14:paraId="02A89E2D">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在已取得合法用地手续的工业用地、物流仓储项目用地红线范围内，建设不涉及公共空间、不增加建筑面积的围墙、大门、机械式停车设备、内部道路、化粪池、污水处理池等配套设施，以及设备平台、水池、水槽、罐体、管廊、地磅等配套的构筑物。</w:t>
      </w:r>
    </w:p>
    <w:p w14:paraId="5349A85B">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（四）其他类</w:t>
      </w:r>
    </w:p>
    <w:p w14:paraId="74AA3491">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1.经小区业主协商一致，由社区或业委会主导实施的利用小区现有架空层、闲置用房等设施增设或改建公共的、开放的公共服务设施。</w:t>
      </w:r>
    </w:p>
    <w:p w14:paraId="72280081">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2.经管理单位同意或经小区业主协商一致，由单位或小区业委会主导的在单位、小区的绿地、空坪隙地内增设（非）机动车停车设施、室外体育设施、室外吸烟区等公益设施。</w:t>
      </w:r>
    </w:p>
    <w:p w14:paraId="7FC42D35">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四、相关要求</w:t>
      </w:r>
    </w:p>
    <w:p w14:paraId="4C035D8A">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（一）涉及建设工程规划许可豁免的事项，建设单位（或个人）仍应按规定向其他相关部门申报手续。</w:t>
      </w:r>
    </w:p>
    <w:p w14:paraId="789BFB54">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纳入本清单的建设项目，不得影响周边利害关系人合法权益，不得违反安全生产等相关法律法规，不得改变既有建筑主体结构，不得破坏景观环境，须保障公共安全和公共利益，符合《中华人民共和国民法典》及卫生防疫、生态环保、消防、交通、地质、结构、安全等相关规范要求。</w:t>
      </w:r>
    </w:p>
    <w:p w14:paraId="1E335E2E">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工程建设过程中的一切活动如造成周围环境或设施损害与破坏，使国家、组织和公民个人合法权益遭受损失的，行业主管部门应根据监管职责对建设单位（或个人）采取措施给予有效处置，建设单位（或个人）另行承担补偿、赔偿等相应法律责任。</w:t>
      </w:r>
    </w:p>
    <w:p w14:paraId="11883167">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（四）属地乡镇人民政府，街道办事处应当对建设情况进行巡查，发现违法建设行为的，应当予以制止，并依法予以处理。有关行政主管部门及执法部门，应按照职责对建设工程的实施履行行业监管责任。</w:t>
      </w:r>
    </w:p>
    <w:p w14:paraId="3447B03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信用管理。建设单位以欺骗、隐瞒等不正当手段取得豁免，或违反承诺内容的，依法撤销其豁免资格，责令限期改正、补办相关手续，并将其纳入失信记录，实施联合惩戒；造成严重后果的，依法追究其法律责任。</w:t>
      </w:r>
    </w:p>
    <w:p w14:paraId="3AA9231B">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（六）本通知自印发之日起施行，有效期5年。并根据国家、省、市有关政策及“放管服”改革要求，对清单内容进行动态调整更新。</w:t>
      </w:r>
    </w:p>
    <w:p w14:paraId="7CE768FF">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（七）本通知由市自然资源局负责解释。</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7F68AC"/>
    <w:rsid w:val="52121BB5"/>
    <w:rsid w:val="587F6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2026-03-31T10:33:00Z</dcterms:created>
  <dc:creator> </dc:creator>
  <cp:lastModifiedBy> </cp:lastModifiedBy>
  <dcterms:modified xsi:type="dcterms:W3CDTF">2026-03-31T10:39:43Z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8C22DFD412CE4064935B18A22828C368_11</vt:lpwstr>
  </property>
  <property fmtid="{D5CDD505-2E9C-101B-9397-08002B2CF9AE}" pid="4" name="KSOTemplateDocerSaveRecord">
    <vt:lpwstr>eyJoZGlkIjoiNzM4YTIxYzY5M2QxNjU5OGZhMjkxNzc1N2U3YmEyMDQiLCJ1c2VySWQiOiIzMTg0NTQ5NjQifQ==</vt:lpwstr>
  </property>
</Properties>
</file>