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B1988">
      <w:pPr>
        <w:spacing w:line="680" w:lineRule="exact"/>
        <w:ind w:firstLine="0" w:firstLineChars="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w:t>
      </w:r>
    </w:p>
    <w:p w14:paraId="51F06D4D">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关于规范格尔木市国有建设用地</w:t>
      </w:r>
    </w:p>
    <w:p w14:paraId="69C06050">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小地块规划建设管理办法</w:t>
      </w:r>
    </w:p>
    <w:p w14:paraId="7A1A8C0B">
      <w:pPr>
        <w:pStyle w:val="2"/>
        <w:keepNext/>
        <w:keepLines/>
        <w:pageBreakBefore w:val="0"/>
        <w:widowControl w:val="0"/>
        <w:numPr>
          <w:ilvl w:val="0"/>
          <w:numId w:val="0"/>
        </w:numPr>
        <w:kinsoku/>
        <w:wordWrap/>
        <w:overflowPunct/>
        <w:topLinePunct w:val="0"/>
        <w:autoSpaceDE/>
        <w:autoSpaceDN/>
        <w:bidi w:val="0"/>
        <w:adjustRightInd/>
        <w:snapToGrid/>
        <w:spacing w:before="340" w:beforeLines="0" w:after="330" w:afterLines="0" w:line="576" w:lineRule="exact"/>
        <w:ind w:right="0" w:rightChars="0"/>
        <w:textAlignment w:val="auto"/>
        <w:rPr>
          <w:rFonts w:hint="default" w:ascii="Times New Roman" w:hAnsi="Times New Roman" w:cs="Times New Roman"/>
          <w:b w:val="0"/>
          <w:snapToGrid/>
          <w:color w:val="auto"/>
          <w:sz w:val="32"/>
          <w:szCs w:val="32"/>
        </w:rPr>
      </w:pPr>
      <w:r>
        <w:rPr>
          <w:rFonts w:hint="default" w:ascii="Times New Roman" w:hAnsi="Times New Roman" w:cs="Times New Roman"/>
          <w:b w:val="0"/>
          <w:snapToGrid/>
          <w:color w:val="auto"/>
          <w:sz w:val="32"/>
          <w:szCs w:val="32"/>
        </w:rPr>
        <w:t>第一章 总则</w:t>
      </w:r>
    </w:p>
    <w:p w14:paraId="2EBF59D9">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 xml:space="preserve">第一条 </w:t>
      </w:r>
      <w:r>
        <w:rPr>
          <w:rFonts w:hint="default" w:ascii="Times New Roman" w:hAnsi="Times New Roman" w:cs="Times New Roman"/>
          <w:szCs w:val="32"/>
        </w:rPr>
        <w:t>为规范格尔木市国有建设用地小地块（即用地规模≤2000</w:t>
      </w:r>
      <w:r>
        <w:rPr>
          <w:rFonts w:hint="default" w:ascii="Times New Roman" w:hAnsi="Times New Roman" w:cs="Times New Roman"/>
          <w:szCs w:val="32"/>
          <w:lang w:val="en-US" w:eastAsia="zh-CN"/>
        </w:rPr>
        <w:t>m</w:t>
      </w:r>
      <w:r>
        <w:rPr>
          <w:rFonts w:hint="default" w:ascii="Times New Roman" w:hAnsi="Times New Roman" w:cs="Times New Roman"/>
          <w:szCs w:val="32"/>
          <w:vertAlign w:val="superscript"/>
          <w:lang w:val="en-US" w:eastAsia="zh-CN"/>
        </w:rPr>
        <w:t>2</w:t>
      </w:r>
      <w:r>
        <w:rPr>
          <w:rFonts w:hint="default" w:ascii="Times New Roman" w:hAnsi="Times New Roman" w:cs="Times New Roman"/>
          <w:szCs w:val="32"/>
        </w:rPr>
        <w:t>的地块）的规划建设管理，制定本规划建设管理办法。</w:t>
      </w:r>
    </w:p>
    <w:p w14:paraId="34A4B1EF">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 xml:space="preserve">第二条 </w:t>
      </w:r>
      <w:r>
        <w:rPr>
          <w:rFonts w:hint="default" w:ascii="Times New Roman" w:hAnsi="Times New Roman" w:cs="Times New Roman"/>
          <w:szCs w:val="32"/>
        </w:rPr>
        <w:t>本规划建设管理办法以国家法律法规、规章及相关技术规范为依据，在《青海省城市（镇）规划管理技术规定（试行）》（以下简称《管理技术规定》）基础上细化形成。</w:t>
      </w:r>
    </w:p>
    <w:p w14:paraId="58853C3F">
      <w:pPr>
        <w:keepNext w:val="0"/>
        <w:keepLines w:val="0"/>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 xml:space="preserve">第三条 </w:t>
      </w:r>
      <w:r>
        <w:rPr>
          <w:rFonts w:hint="default" w:ascii="Times New Roman" w:hAnsi="Times New Roman" w:cs="Times New Roman"/>
          <w:szCs w:val="32"/>
        </w:rPr>
        <w:t>本规划建设管理办法适用于格尔木市城镇开发边界内小地块建设工程设计方案的编制、规划与管理，城镇开发边界外零星城镇建设用地等其他区域可参照执行。</w:t>
      </w:r>
    </w:p>
    <w:p w14:paraId="07AFC2A2">
      <w:pPr>
        <w:pStyle w:val="2"/>
        <w:keepNext/>
        <w:keepLines/>
        <w:pageBreakBefore w:val="0"/>
        <w:widowControl w:val="0"/>
        <w:numPr>
          <w:ilvl w:val="0"/>
          <w:numId w:val="0"/>
        </w:numPr>
        <w:kinsoku/>
        <w:wordWrap/>
        <w:overflowPunct/>
        <w:topLinePunct w:val="0"/>
        <w:autoSpaceDE/>
        <w:autoSpaceDN/>
        <w:bidi w:val="0"/>
        <w:adjustRightInd/>
        <w:snapToGrid/>
        <w:spacing w:before="340" w:beforeLines="0" w:after="330" w:afterLines="0" w:line="576" w:lineRule="exact"/>
        <w:ind w:right="0" w:rightChars="0"/>
        <w:textAlignment w:val="auto"/>
        <w:rPr>
          <w:rFonts w:hint="default" w:ascii="Times New Roman" w:hAnsi="Times New Roman" w:cs="Times New Roman"/>
          <w:b w:val="0"/>
          <w:bCs/>
          <w:snapToGrid/>
          <w:color w:val="auto"/>
          <w:sz w:val="32"/>
          <w:szCs w:val="32"/>
        </w:rPr>
      </w:pPr>
      <w:r>
        <w:rPr>
          <w:rFonts w:hint="default" w:ascii="Times New Roman" w:hAnsi="Times New Roman" w:cs="Times New Roman"/>
          <w:b w:val="0"/>
          <w:bCs/>
          <w:snapToGrid/>
          <w:color w:val="auto"/>
          <w:sz w:val="32"/>
          <w:szCs w:val="32"/>
          <w:lang w:val="en-US" w:eastAsia="zh-CN"/>
        </w:rPr>
        <w:t xml:space="preserve">第二章 </w:t>
      </w:r>
      <w:r>
        <w:rPr>
          <w:rFonts w:hint="default" w:ascii="Times New Roman" w:hAnsi="Times New Roman" w:cs="Times New Roman"/>
          <w:b w:val="0"/>
          <w:bCs/>
          <w:snapToGrid/>
          <w:color w:val="auto"/>
          <w:sz w:val="32"/>
          <w:szCs w:val="32"/>
        </w:rPr>
        <w:t>规划管理</w:t>
      </w:r>
    </w:p>
    <w:p w14:paraId="6131C95C">
      <w:pPr>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sz w:val="32"/>
          <w:szCs w:val="32"/>
        </w:rPr>
      </w:pPr>
      <w:r>
        <w:rPr>
          <w:rFonts w:hint="default" w:ascii="Times New Roman" w:hAnsi="Times New Roman" w:cs="Times New Roman"/>
          <w:b/>
          <w:bCs/>
          <w:szCs w:val="32"/>
        </w:rPr>
        <w:t>第</w:t>
      </w:r>
      <w:r>
        <w:rPr>
          <w:rFonts w:hint="default" w:ascii="Times New Roman" w:hAnsi="Times New Roman" w:cs="Times New Roman"/>
          <w:b/>
          <w:bCs/>
          <w:szCs w:val="32"/>
          <w:lang w:val="en-US" w:eastAsia="zh-CN"/>
        </w:rPr>
        <w:t>四</w:t>
      </w:r>
      <w:r>
        <w:rPr>
          <w:rFonts w:hint="default" w:ascii="Times New Roman" w:hAnsi="Times New Roman" w:cs="Times New Roman"/>
          <w:b/>
          <w:bCs/>
          <w:szCs w:val="32"/>
        </w:rPr>
        <w:t>条</w:t>
      </w:r>
      <w:r>
        <w:rPr>
          <w:rFonts w:hint="default" w:ascii="Times New Roman" w:hAnsi="Times New Roman" w:cs="Times New Roman"/>
          <w:b/>
          <w:bCs/>
          <w:szCs w:val="32"/>
          <w:lang w:val="en-US" w:eastAsia="zh-CN"/>
        </w:rPr>
        <w:t xml:space="preserve"> </w:t>
      </w:r>
      <w:r>
        <w:rPr>
          <w:rFonts w:hint="default" w:ascii="Times New Roman" w:hAnsi="Times New Roman" w:eastAsia="仿宋_GB2312" w:cs="Times New Roman"/>
          <w:b w:val="0"/>
          <w:bCs/>
          <w:sz w:val="32"/>
          <w:szCs w:val="32"/>
        </w:rPr>
        <w:t>规范小地块规划建设准入管理，明确建设控制标准及实施规范要求。</w:t>
      </w:r>
    </w:p>
    <w:p w14:paraId="58F5815C">
      <w:pPr>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（一）小地块建筑功能应以详细规划或土地使用权证登记的用途为准。</w:t>
      </w:r>
    </w:p>
    <w:p w14:paraId="455711AC">
      <w:pPr>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rPr>
        <w:t>（二）若小地块内无建筑或（拆除）重建的，应依据现行规划确定的用地性质办理土地用途变更手续。</w:t>
      </w:r>
    </w:p>
    <w:p w14:paraId="035F6B24">
      <w:pPr>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b w:val="0"/>
          <w:bCs/>
          <w:sz w:val="32"/>
          <w:szCs w:val="32"/>
          <w:lang w:eastAsia="zh-CN"/>
        </w:rPr>
      </w:pPr>
      <w:r>
        <w:rPr>
          <w:rFonts w:hint="default" w:ascii="Times New Roman" w:hAnsi="Times New Roman" w:eastAsia="仿宋_GB2312" w:cs="Times New Roman"/>
          <w:b w:val="0"/>
          <w:bCs/>
          <w:sz w:val="32"/>
          <w:szCs w:val="32"/>
        </w:rPr>
        <w:t>（三）单一小地块内，主导用途的地上建筑面积应大于地上总建筑面积的75%。临街用地土地使用权登记为居住用地的，临街一层可作为商铺（对周边有卫生、安全等影响的业态除外）</w:t>
      </w:r>
      <w:r>
        <w:rPr>
          <w:rFonts w:hint="default" w:ascii="Times New Roman" w:hAnsi="Times New Roman" w:cs="Times New Roman"/>
          <w:b w:val="0"/>
          <w:bCs/>
          <w:sz w:val="32"/>
          <w:szCs w:val="32"/>
          <w:lang w:eastAsia="zh-CN"/>
        </w:rPr>
        <w:t>。</w:t>
      </w:r>
    </w:p>
    <w:p w14:paraId="2D159ABD">
      <w:pPr>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sz w:val="32"/>
          <w:szCs w:val="32"/>
        </w:rPr>
      </w:pPr>
      <w:r>
        <w:rPr>
          <w:rFonts w:hint="default" w:ascii="Times New Roman" w:hAnsi="Times New Roman" w:eastAsia="仿宋_GB2312" w:cs="Times New Roman"/>
          <w:b w:val="0"/>
          <w:bCs/>
          <w:sz w:val="32"/>
          <w:szCs w:val="32"/>
        </w:rPr>
        <w:t>（四）用地规模≤500</w:t>
      </w:r>
      <w:r>
        <w:rPr>
          <w:rFonts w:hint="default" w:ascii="Times New Roman" w:hAnsi="Times New Roman" w:cs="Times New Roman"/>
          <w:b w:val="0"/>
          <w:bCs/>
          <w:sz w:val="32"/>
          <w:szCs w:val="32"/>
          <w:lang w:val="en-US" w:eastAsia="zh-CN"/>
        </w:rPr>
        <w:t>m</w:t>
      </w:r>
      <w:r>
        <w:rPr>
          <w:rFonts w:hint="default" w:ascii="Times New Roman" w:hAnsi="Times New Roman" w:cs="Times New Roman"/>
          <w:b w:val="0"/>
          <w:bCs/>
          <w:sz w:val="32"/>
          <w:szCs w:val="32"/>
          <w:vertAlign w:val="superscript"/>
          <w:lang w:val="en-US" w:eastAsia="zh-CN"/>
        </w:rPr>
        <w:t>2</w:t>
      </w:r>
      <w:r>
        <w:rPr>
          <w:rFonts w:hint="default" w:ascii="Times New Roman" w:hAnsi="Times New Roman" w:eastAsia="仿宋_GB2312" w:cs="Times New Roman"/>
          <w:b w:val="0"/>
          <w:bCs/>
          <w:sz w:val="32"/>
          <w:szCs w:val="32"/>
        </w:rPr>
        <w:t>的地块，建筑层数不得超过3层，且建筑高度不得超过12米。</w:t>
      </w:r>
    </w:p>
    <w:p w14:paraId="0354FB34">
      <w:pPr>
        <w:pageBreakBefore w:val="0"/>
        <w:widowControl w:val="0"/>
        <w:kinsoku/>
        <w:wordWrap/>
        <w:overflowPunct/>
        <w:topLinePunct w:val="0"/>
        <w:autoSpaceDE/>
        <w:autoSpaceDN/>
        <w:bidi w:val="0"/>
        <w:adjustRightInd/>
        <w:snapToGrid/>
        <w:spacing w:before="62" w:beforeLines="20" w:after="62" w:afterLines="20" w:line="576" w:lineRule="exact"/>
        <w:ind w:firstLine="643"/>
        <w:jc w:val="left"/>
        <w:textAlignment w:val="auto"/>
        <w:rPr>
          <w:rFonts w:hint="default" w:ascii="Times New Roman" w:hAnsi="Times New Roman" w:cs="Times New Roman"/>
          <w:color w:val="000000"/>
          <w:szCs w:val="32"/>
        </w:rPr>
      </w:pPr>
      <w:r>
        <w:rPr>
          <w:rFonts w:hint="default" w:ascii="Times New Roman" w:hAnsi="Times New Roman" w:cs="Times New Roman"/>
          <w:b/>
          <w:bCs/>
          <w:color w:val="000000"/>
          <w:szCs w:val="32"/>
        </w:rPr>
        <w:t xml:space="preserve">第五条 </w:t>
      </w:r>
      <w:r>
        <w:rPr>
          <w:rFonts w:hint="default" w:ascii="Times New Roman" w:hAnsi="Times New Roman" w:cs="Times New Roman"/>
          <w:color w:val="000000"/>
          <w:szCs w:val="32"/>
        </w:rPr>
        <w:t>严格落实小地块整合优先原则，规范统筹开发与规划建设管控。</w:t>
      </w:r>
    </w:p>
    <w:p w14:paraId="520E5961">
      <w:pPr>
        <w:pageBreakBefore w:val="0"/>
        <w:widowControl w:val="0"/>
        <w:kinsoku/>
        <w:wordWrap/>
        <w:overflowPunct/>
        <w:topLinePunct w:val="0"/>
        <w:autoSpaceDE/>
        <w:autoSpaceDN/>
        <w:bidi w:val="0"/>
        <w:adjustRightInd/>
        <w:snapToGrid/>
        <w:spacing w:before="62" w:beforeLines="20" w:after="62" w:afterLines="20" w:line="576" w:lineRule="exact"/>
        <w:ind w:firstLine="640"/>
        <w:jc w:val="left"/>
        <w:textAlignment w:val="auto"/>
        <w:rPr>
          <w:rFonts w:hint="default" w:ascii="Times New Roman" w:hAnsi="Times New Roman" w:cs="Times New Roman"/>
          <w:szCs w:val="32"/>
        </w:rPr>
      </w:pPr>
      <w:r>
        <w:rPr>
          <w:rFonts w:hint="default" w:ascii="Times New Roman" w:hAnsi="Times New Roman" w:cs="Times New Roman"/>
          <w:szCs w:val="32"/>
        </w:rPr>
        <w:t>（一）格尔木市中心城区主次干道、重要景观节点、昆仑路城市综合服务核心区与河西新区政务文体服务核心区范围等重要城市节点及周边未建设的小地块，应按现行规划统筹整合开发；其他区域及周边已建设完成的小地块，鼓励统筹整合开发。</w:t>
      </w:r>
    </w:p>
    <w:p w14:paraId="56646817">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（二）新增用地规模≤2000</w:t>
      </w:r>
      <w:r>
        <w:rPr>
          <w:rFonts w:hint="default" w:ascii="Times New Roman" w:hAnsi="Times New Roman" w:cs="Times New Roman"/>
          <w:b w:val="0"/>
          <w:bCs/>
          <w:sz w:val="32"/>
          <w:szCs w:val="32"/>
          <w:lang w:val="en-US" w:eastAsia="zh-CN"/>
        </w:rPr>
        <w:t>m</w:t>
      </w:r>
      <w:r>
        <w:rPr>
          <w:rFonts w:hint="default" w:ascii="Times New Roman" w:hAnsi="Times New Roman" w:cs="Times New Roman"/>
          <w:b w:val="0"/>
          <w:bCs/>
          <w:sz w:val="32"/>
          <w:szCs w:val="32"/>
          <w:vertAlign w:val="superscript"/>
          <w:lang w:val="en-US" w:eastAsia="zh-CN"/>
        </w:rPr>
        <w:t>2</w:t>
      </w:r>
      <w:r>
        <w:rPr>
          <w:rFonts w:hint="default" w:ascii="Times New Roman" w:hAnsi="Times New Roman" w:cs="Times New Roman"/>
          <w:szCs w:val="32"/>
        </w:rPr>
        <w:t>的地块，原则上不应独立进行规划建设，应与周边地块统筹整合开发。总指标应符合《管理技术规定》的有关规定，即将其与相邻地块的规划要求进行“捆绑”，合理统筹分配各项开发强度指标（容积率、建筑密度、绿化率、停车位等）。明确提出相邻地块在建筑退线、交通组织、公共空间、景观廊道等方面的协同设计要求，并取得周边利害关系人的同意</w:t>
      </w:r>
      <w:r>
        <w:rPr>
          <w:rFonts w:hint="default" w:ascii="Times New Roman" w:hAnsi="Times New Roman" w:cs="Times New Roman"/>
          <w:szCs w:val="32"/>
        </w:rPr>
        <w:t>（书面同意）</w:t>
      </w:r>
      <w:r>
        <w:rPr>
          <w:rFonts w:hint="default" w:ascii="Times New Roman" w:hAnsi="Times New Roman" w:cs="Times New Roman"/>
          <w:szCs w:val="32"/>
        </w:rPr>
        <w:t>。</w:t>
      </w:r>
    </w:p>
    <w:p w14:paraId="56ACDCCE">
      <w:pPr>
        <w:pageBreakBefore w:val="0"/>
        <w:widowControl w:val="0"/>
        <w:kinsoku/>
        <w:wordWrap/>
        <w:overflowPunct/>
        <w:topLinePunct w:val="0"/>
        <w:autoSpaceDE/>
        <w:autoSpaceDN/>
        <w:bidi w:val="0"/>
        <w:adjustRightInd/>
        <w:snapToGrid/>
        <w:spacing w:before="62" w:beforeLines="20" w:after="62" w:afterLines="20" w:line="576" w:lineRule="exact"/>
        <w:ind w:firstLine="640"/>
        <w:jc w:val="left"/>
        <w:textAlignment w:val="auto"/>
        <w:rPr>
          <w:rFonts w:hint="default" w:ascii="Times New Roman" w:hAnsi="Times New Roman" w:cs="Times New Roman"/>
          <w:szCs w:val="32"/>
        </w:rPr>
      </w:pPr>
      <w:r>
        <w:rPr>
          <w:rFonts w:hint="default" w:ascii="Times New Roman" w:hAnsi="Times New Roman" w:cs="Times New Roman"/>
          <w:szCs w:val="32"/>
        </w:rPr>
        <w:t>（三）小地块需新建、改建时应在土地出让公告、合同或划拨决定书中，明确纳入经审定的建设工程设计方案（总平面图），受让人取得土地使用权后，其建设工程规划许可的核发应以报审文件与出让时确定的方案一致性为审查重点，确保规划意图的精准落实。</w:t>
      </w:r>
    </w:p>
    <w:p w14:paraId="712E2C02">
      <w:pPr>
        <w:pageBreakBefore w:val="0"/>
        <w:widowControl w:val="0"/>
        <w:kinsoku/>
        <w:wordWrap/>
        <w:overflowPunct/>
        <w:topLinePunct w:val="0"/>
        <w:autoSpaceDE/>
        <w:autoSpaceDN/>
        <w:bidi w:val="0"/>
        <w:adjustRightInd/>
        <w:snapToGrid/>
        <w:spacing w:before="62" w:beforeLines="20" w:after="62" w:afterLines="20" w:line="576" w:lineRule="exact"/>
        <w:ind w:firstLine="640"/>
        <w:jc w:val="left"/>
        <w:textAlignment w:val="auto"/>
        <w:rPr>
          <w:rFonts w:hint="default" w:ascii="Times New Roman" w:hAnsi="Times New Roman" w:cs="Times New Roman"/>
          <w:szCs w:val="32"/>
        </w:rPr>
      </w:pPr>
      <w:r>
        <w:rPr>
          <w:rFonts w:hint="default" w:ascii="Times New Roman" w:hAnsi="Times New Roman" w:cs="Times New Roman"/>
          <w:szCs w:val="32"/>
        </w:rPr>
        <w:t>（四）鼓励申请人（建设单位）与临近地块业主协商整合编制建设工程设计方案。</w:t>
      </w:r>
    </w:p>
    <w:p w14:paraId="4A7E186D">
      <w:pPr>
        <w:pageBreakBefore w:val="0"/>
        <w:widowControl w:val="0"/>
        <w:kinsoku/>
        <w:wordWrap/>
        <w:overflowPunct/>
        <w:topLinePunct w:val="0"/>
        <w:autoSpaceDE/>
        <w:autoSpaceDN/>
        <w:bidi w:val="0"/>
        <w:adjustRightInd/>
        <w:snapToGrid/>
        <w:spacing w:before="62" w:beforeLines="20" w:after="62" w:afterLines="20" w:line="576" w:lineRule="exact"/>
        <w:ind w:firstLine="640"/>
        <w:jc w:val="left"/>
        <w:textAlignment w:val="auto"/>
        <w:rPr>
          <w:rFonts w:hint="default" w:ascii="Times New Roman" w:hAnsi="Times New Roman" w:cs="Times New Roman"/>
          <w:szCs w:val="32"/>
        </w:rPr>
      </w:pPr>
      <w:r>
        <w:rPr>
          <w:rFonts w:hint="default" w:ascii="Times New Roman" w:hAnsi="Times New Roman" w:cs="Times New Roman"/>
          <w:szCs w:val="32"/>
        </w:rPr>
        <w:t>（五）禁止建设对周边有严重干扰或安全隐患的功能业态。</w:t>
      </w:r>
    </w:p>
    <w:p w14:paraId="0A96B88C">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 xml:space="preserve">第六条 </w:t>
      </w:r>
      <w:r>
        <w:rPr>
          <w:rFonts w:hint="default" w:ascii="Times New Roman" w:hAnsi="Times New Roman" w:cs="Times New Roman"/>
          <w:szCs w:val="32"/>
        </w:rPr>
        <w:t>因用地规模较小，实际情况确实无法满足《管理技术规定》各项开发强度控制指标的，可采取弹性规划控制，详见附表1，2。</w:t>
      </w:r>
    </w:p>
    <w:p w14:paraId="3BDF07F7">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仿宋_GB2312" w:cs="Times New Roman"/>
          <w:b w:val="0"/>
          <w:bCs w:val="0"/>
          <w:color w:val="000000"/>
          <w:kern w:val="0"/>
          <w:sz w:val="32"/>
          <w:szCs w:val="32"/>
          <w:lang w:val="en-US" w:eastAsia="zh-CN" w:bidi="ar-SA"/>
        </w:rPr>
      </w:pPr>
      <w:r>
        <w:rPr>
          <w:rFonts w:hint="default" w:ascii="Times New Roman" w:hAnsi="Times New Roman" w:cs="Times New Roman"/>
          <w:b/>
          <w:bCs/>
          <w:szCs w:val="32"/>
          <w:lang w:val="en-US" w:eastAsia="zh-CN"/>
        </w:rPr>
        <w:t>第七条</w:t>
      </w:r>
      <w:r>
        <w:rPr>
          <w:rFonts w:hint="default" w:ascii="Times New Roman" w:hAnsi="Times New Roman" w:cs="Times New Roman"/>
          <w:szCs w:val="32"/>
          <w:lang w:val="en-US" w:eastAsia="zh-CN"/>
        </w:rPr>
        <w:t xml:space="preserve"> </w:t>
      </w:r>
      <w:r>
        <w:rPr>
          <w:rFonts w:hint="default" w:ascii="Times New Roman" w:hAnsi="Times New Roman" w:eastAsia="仿宋_GB2312" w:cs="Times New Roman"/>
          <w:b w:val="0"/>
          <w:bCs w:val="0"/>
          <w:color w:val="000000"/>
          <w:kern w:val="0"/>
          <w:sz w:val="32"/>
          <w:szCs w:val="32"/>
          <w:lang w:val="en-US" w:eastAsia="zh-CN" w:bidi="ar-SA"/>
        </w:rPr>
        <w:t>地块开发建设与生态环境保护、市政道路、公园绿地、公共服务设施等公共利益建设相“冲突”的，经论证不可行的，</w:t>
      </w:r>
      <w:r>
        <w:rPr>
          <w:rFonts w:hint="default" w:ascii="Times New Roman" w:hAnsi="Times New Roman" w:cs="Times New Roman"/>
          <w:b w:val="0"/>
          <w:bCs w:val="0"/>
          <w:color w:val="000000"/>
          <w:kern w:val="0"/>
          <w:sz w:val="32"/>
          <w:szCs w:val="32"/>
          <w:lang w:val="en-US" w:eastAsia="zh-CN" w:bidi="ar-SA"/>
        </w:rPr>
        <w:t>规划主管、建设主管</w:t>
      </w:r>
      <w:r>
        <w:rPr>
          <w:rFonts w:hint="default" w:ascii="Times New Roman" w:hAnsi="Times New Roman" w:eastAsia="仿宋_GB2312" w:cs="Times New Roman"/>
          <w:b w:val="0"/>
          <w:bCs w:val="0"/>
          <w:color w:val="000000"/>
          <w:kern w:val="0"/>
          <w:sz w:val="32"/>
          <w:szCs w:val="32"/>
          <w:lang w:val="en-US" w:eastAsia="zh-CN" w:bidi="ar-SA"/>
        </w:rPr>
        <w:t>等部门不再办理相关土地续期、用地性质变更、规划许可、建设许可等相关手续，由房屋征收</w:t>
      </w:r>
      <w:r>
        <w:rPr>
          <w:rFonts w:hint="default" w:ascii="Times New Roman" w:hAnsi="Times New Roman" w:cs="Times New Roman"/>
          <w:b w:val="0"/>
          <w:bCs w:val="0"/>
          <w:color w:val="000000"/>
          <w:kern w:val="0"/>
          <w:sz w:val="32"/>
          <w:szCs w:val="32"/>
          <w:lang w:val="en-US" w:eastAsia="zh-CN" w:bidi="ar-SA"/>
        </w:rPr>
        <w:t>部门</w:t>
      </w:r>
      <w:r>
        <w:rPr>
          <w:rFonts w:hint="default" w:ascii="Times New Roman" w:hAnsi="Times New Roman" w:eastAsia="仿宋_GB2312" w:cs="Times New Roman"/>
          <w:b w:val="0"/>
          <w:bCs w:val="0"/>
          <w:color w:val="000000"/>
          <w:kern w:val="0"/>
          <w:sz w:val="32"/>
          <w:szCs w:val="32"/>
          <w:lang w:val="en-US" w:eastAsia="zh-CN" w:bidi="ar-SA"/>
        </w:rPr>
        <w:t>研究解决土地、建（构）筑物征收补偿等相关工作。</w:t>
      </w:r>
    </w:p>
    <w:p w14:paraId="5AF60814">
      <w:pPr>
        <w:pageBreakBefore w:val="0"/>
        <w:widowControl w:val="0"/>
        <w:kinsoku/>
        <w:wordWrap/>
        <w:overflowPunct/>
        <w:topLinePunct w:val="0"/>
        <w:autoSpaceDE/>
        <w:autoSpaceDN/>
        <w:bidi w:val="0"/>
        <w:adjustRightInd/>
        <w:snapToGrid/>
        <w:spacing w:line="576" w:lineRule="exact"/>
        <w:ind w:firstLine="643"/>
        <w:jc w:val="center"/>
        <w:textAlignment w:val="auto"/>
        <w:rPr>
          <w:rFonts w:hint="default" w:ascii="Times New Roman" w:hAnsi="Times New Roman" w:eastAsia="黑体" w:cs="Times New Roman"/>
          <w:szCs w:val="32"/>
        </w:rPr>
      </w:pPr>
    </w:p>
    <w:p w14:paraId="6D87DE40">
      <w:pPr>
        <w:pageBreakBefore w:val="0"/>
        <w:widowControl w:val="0"/>
        <w:kinsoku/>
        <w:wordWrap/>
        <w:overflowPunct/>
        <w:topLinePunct w:val="0"/>
        <w:autoSpaceDE/>
        <w:autoSpaceDN/>
        <w:bidi w:val="0"/>
        <w:adjustRightInd/>
        <w:snapToGrid/>
        <w:spacing w:line="576" w:lineRule="exact"/>
        <w:ind w:firstLine="643"/>
        <w:jc w:val="center"/>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第三章 附属绿地与停车设施管理</w:t>
      </w:r>
    </w:p>
    <w:p w14:paraId="3BA29E81">
      <w:pPr>
        <w:pStyle w:val="3"/>
        <w:pageBreakBefore w:val="0"/>
        <w:widowControl w:val="0"/>
        <w:kinsoku/>
        <w:wordWrap/>
        <w:overflowPunct/>
        <w:topLinePunct w:val="0"/>
        <w:autoSpaceDE/>
        <w:autoSpaceDN/>
        <w:bidi w:val="0"/>
        <w:adjustRightInd/>
        <w:snapToGrid/>
        <w:spacing w:line="576" w:lineRule="exact"/>
        <w:ind w:firstLine="1044"/>
        <w:textAlignment w:val="auto"/>
        <w:rPr>
          <w:rFonts w:hint="default" w:ascii="Times New Roman" w:hAnsi="Times New Roman" w:cs="Times New Roman"/>
        </w:rPr>
      </w:pPr>
    </w:p>
    <w:p w14:paraId="45531715">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color w:val="000000"/>
          <w:szCs w:val="32"/>
          <w:shd w:val="clear" w:color="auto" w:fill="FFFFFF"/>
        </w:rPr>
      </w:pPr>
      <w:r>
        <w:rPr>
          <w:rFonts w:hint="default" w:ascii="Times New Roman" w:hAnsi="Times New Roman" w:cs="Times New Roman"/>
          <w:b/>
          <w:bCs/>
          <w:color w:val="000000"/>
          <w:szCs w:val="22"/>
        </w:rPr>
        <w:t>第</w:t>
      </w:r>
      <w:r>
        <w:rPr>
          <w:rFonts w:hint="default" w:ascii="Times New Roman" w:hAnsi="Times New Roman" w:cs="Times New Roman"/>
          <w:b/>
          <w:bCs/>
          <w:color w:val="000000"/>
          <w:szCs w:val="22"/>
          <w:lang w:val="en-US" w:eastAsia="zh-CN"/>
        </w:rPr>
        <w:t>八</w:t>
      </w:r>
      <w:r>
        <w:rPr>
          <w:rFonts w:hint="default" w:ascii="Times New Roman" w:hAnsi="Times New Roman" w:cs="Times New Roman"/>
          <w:b/>
          <w:bCs/>
          <w:color w:val="000000"/>
          <w:szCs w:val="22"/>
        </w:rPr>
        <w:t>条</w:t>
      </w:r>
      <w:r>
        <w:rPr>
          <w:rFonts w:hint="default" w:ascii="Times New Roman" w:hAnsi="Times New Roman" w:cs="Times New Roman"/>
          <w:color w:val="000000"/>
          <w:szCs w:val="22"/>
        </w:rPr>
        <w:t xml:space="preserve"> </w:t>
      </w:r>
      <w:r>
        <w:rPr>
          <w:rFonts w:hint="default" w:ascii="Times New Roman" w:hAnsi="Times New Roman" w:cs="Times New Roman"/>
          <w:color w:val="000000"/>
          <w:szCs w:val="32"/>
          <w:shd w:val="clear" w:color="auto" w:fill="FFFFFF"/>
        </w:rPr>
        <w:t>中心城区建设用地范围内所有新建、改建、扩建的工程建设项目必须按本办法规定标准同步配套绿化建设、机动车停车位配套设施。</w:t>
      </w:r>
    </w:p>
    <w:p w14:paraId="3E988D52">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22"/>
        </w:rPr>
      </w:pPr>
      <w:r>
        <w:rPr>
          <w:rFonts w:hint="default" w:ascii="Times New Roman" w:hAnsi="Times New Roman" w:cs="Times New Roman"/>
          <w:b/>
          <w:bCs/>
          <w:szCs w:val="22"/>
        </w:rPr>
        <w:t>第</w:t>
      </w:r>
      <w:r>
        <w:rPr>
          <w:rFonts w:hint="default" w:ascii="Times New Roman" w:hAnsi="Times New Roman" w:cs="Times New Roman"/>
          <w:b/>
          <w:bCs/>
          <w:szCs w:val="22"/>
          <w:lang w:val="en-US" w:eastAsia="zh-CN"/>
        </w:rPr>
        <w:t>九</w:t>
      </w:r>
      <w:r>
        <w:rPr>
          <w:rFonts w:hint="default" w:ascii="Times New Roman" w:hAnsi="Times New Roman" w:cs="Times New Roman"/>
          <w:b/>
          <w:bCs/>
          <w:szCs w:val="22"/>
        </w:rPr>
        <w:t xml:space="preserve">条 </w:t>
      </w:r>
      <w:r>
        <w:rPr>
          <w:rFonts w:hint="default" w:ascii="Times New Roman" w:hAnsi="Times New Roman" w:cs="Times New Roman"/>
          <w:szCs w:val="22"/>
        </w:rPr>
        <w:t>绿地率是指建设项目绿化用地占总用地面积的比例。其计算公式为：绿地率＝建设项目绿化用地面积/建设项目总用地面积）×100%。绿化用地面积的计算规范详见附件。</w:t>
      </w:r>
    </w:p>
    <w:p w14:paraId="73E6E991">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22"/>
        </w:rPr>
      </w:pPr>
      <w:r>
        <w:rPr>
          <w:rFonts w:hint="default" w:ascii="Times New Roman" w:hAnsi="Times New Roman" w:cs="Times New Roman"/>
          <w:b/>
          <w:bCs/>
          <w:szCs w:val="32"/>
        </w:rPr>
        <w:t>第</w:t>
      </w:r>
      <w:r>
        <w:rPr>
          <w:rFonts w:hint="default" w:ascii="Times New Roman" w:hAnsi="Times New Roman" w:cs="Times New Roman"/>
          <w:b/>
          <w:bCs/>
          <w:szCs w:val="32"/>
          <w:lang w:val="en-US" w:eastAsia="zh-CN"/>
        </w:rPr>
        <w:t>十</w:t>
      </w:r>
      <w:r>
        <w:rPr>
          <w:rFonts w:hint="default" w:ascii="Times New Roman" w:hAnsi="Times New Roman" w:cs="Times New Roman"/>
          <w:b/>
          <w:bCs/>
          <w:szCs w:val="32"/>
        </w:rPr>
        <w:t>条</w:t>
      </w:r>
      <w:r>
        <w:rPr>
          <w:rFonts w:hint="default" w:ascii="Times New Roman" w:hAnsi="Times New Roman" w:cs="Times New Roman"/>
          <w:szCs w:val="32"/>
        </w:rPr>
        <w:t xml:space="preserve"> </w:t>
      </w:r>
      <w:r>
        <w:rPr>
          <w:rFonts w:hint="default" w:ascii="Times New Roman" w:hAnsi="Times New Roman" w:cs="Times New Roman"/>
          <w:color w:val="000000"/>
          <w:szCs w:val="32"/>
          <w:shd w:val="clear" w:color="auto" w:fill="FFFFFF"/>
        </w:rPr>
        <w:t>中心城区建设用地范围内</w:t>
      </w:r>
      <w:r>
        <w:rPr>
          <w:rFonts w:hint="default" w:ascii="Times New Roman" w:hAnsi="Times New Roman" w:cs="Times New Roman"/>
          <w:szCs w:val="32"/>
        </w:rPr>
        <w:t>建设工程配套的绿化工程监督检查管理工作由市绿化行政主管部门负责。</w:t>
      </w:r>
      <w:r>
        <w:rPr>
          <w:rFonts w:hint="default" w:ascii="Times New Roman" w:hAnsi="Times New Roman" w:cs="Times New Roman"/>
          <w:szCs w:val="22"/>
        </w:rPr>
        <w:t>建设项目的附属绿化工程设计方案，按照基本建设程序审批时，必须有</w:t>
      </w:r>
      <w:r>
        <w:rPr>
          <w:rFonts w:hint="default" w:ascii="Times New Roman" w:hAnsi="Times New Roman" w:cs="Times New Roman"/>
          <w:szCs w:val="22"/>
        </w:rPr>
        <w:t>园林</w:t>
      </w:r>
      <w:r>
        <w:rPr>
          <w:rFonts w:hint="default" w:ascii="Times New Roman" w:hAnsi="Times New Roman" w:cs="Times New Roman"/>
          <w:szCs w:val="22"/>
        </w:rPr>
        <w:t>绿化主管部门参加审查。</w:t>
      </w:r>
    </w:p>
    <w:p w14:paraId="5B768085">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22"/>
        </w:rPr>
        <w:t>第</w:t>
      </w:r>
      <w:r>
        <w:rPr>
          <w:rFonts w:hint="default" w:ascii="Times New Roman" w:hAnsi="Times New Roman" w:cs="Times New Roman"/>
          <w:b/>
          <w:bCs/>
          <w:szCs w:val="22"/>
          <w:lang w:val="en-US" w:eastAsia="zh-CN"/>
        </w:rPr>
        <w:t>十一</w:t>
      </w:r>
      <w:r>
        <w:rPr>
          <w:rFonts w:hint="default" w:ascii="Times New Roman" w:hAnsi="Times New Roman" w:cs="Times New Roman"/>
          <w:b/>
          <w:bCs/>
          <w:szCs w:val="22"/>
        </w:rPr>
        <w:t>条</w:t>
      </w:r>
      <w:r>
        <w:rPr>
          <w:rFonts w:hint="default" w:ascii="Times New Roman" w:hAnsi="Times New Roman" w:cs="Times New Roman"/>
          <w:szCs w:val="22"/>
        </w:rPr>
        <w:t xml:space="preserve"> </w:t>
      </w:r>
      <w:r>
        <w:rPr>
          <w:rFonts w:hint="default" w:ascii="Times New Roman" w:hAnsi="Times New Roman" w:cs="Times New Roman"/>
          <w:szCs w:val="32"/>
        </w:rPr>
        <w:t>建设单位在向市自然资源局申请办理建设工程规划许可证时，应当一并提交该工程项目配套绿化工程的设计方案，由绿化行政主管部门对配套绿化工程设计方案的可行性出具明确书面意见。各类建设工程配套的绿化工程应与主体工程同步设计、同步施工，同步建成。</w:t>
      </w:r>
    </w:p>
    <w:p w14:paraId="1695D5F6">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color w:val="000000"/>
          <w:kern w:val="0"/>
          <w:szCs w:val="32"/>
          <w:shd w:val="clear" w:color="auto" w:fill="FFFFFF"/>
          <w:lang w:bidi="ar"/>
        </w:rPr>
      </w:pPr>
      <w:r>
        <w:rPr>
          <w:rFonts w:hint="default" w:ascii="Times New Roman" w:hAnsi="Times New Roman" w:cs="Times New Roman"/>
          <w:b/>
          <w:bCs/>
          <w:color w:val="000000"/>
          <w:szCs w:val="32"/>
        </w:rPr>
        <w:t>第十</w:t>
      </w:r>
      <w:r>
        <w:rPr>
          <w:rFonts w:hint="default" w:ascii="Times New Roman" w:hAnsi="Times New Roman" w:cs="Times New Roman"/>
          <w:b/>
          <w:bCs/>
          <w:color w:val="000000"/>
          <w:szCs w:val="32"/>
          <w:lang w:val="en-US" w:eastAsia="zh-CN"/>
        </w:rPr>
        <w:t>二</w:t>
      </w:r>
      <w:r>
        <w:rPr>
          <w:rFonts w:hint="default" w:ascii="Times New Roman" w:hAnsi="Times New Roman" w:cs="Times New Roman"/>
          <w:b/>
          <w:bCs/>
          <w:color w:val="000000"/>
          <w:szCs w:val="32"/>
        </w:rPr>
        <w:t>条</w:t>
      </w:r>
      <w:r>
        <w:rPr>
          <w:rFonts w:hint="default" w:ascii="Times New Roman" w:hAnsi="Times New Roman" w:cs="Times New Roman"/>
          <w:color w:val="000000"/>
          <w:szCs w:val="32"/>
        </w:rPr>
        <w:t xml:space="preserve"> </w:t>
      </w:r>
      <w:r>
        <w:rPr>
          <w:rFonts w:hint="default" w:ascii="Times New Roman" w:hAnsi="Times New Roman" w:cs="Times New Roman"/>
          <w:color w:val="000000"/>
          <w:kern w:val="0"/>
          <w:szCs w:val="32"/>
          <w:shd w:val="clear" w:color="auto" w:fill="FFFFFF"/>
          <w:lang w:bidi="ar"/>
        </w:rPr>
        <w:t>建设单位</w:t>
      </w:r>
      <w:r>
        <w:rPr>
          <w:rFonts w:hint="default" w:ascii="Times New Roman" w:hAnsi="Times New Roman" w:cs="Times New Roman"/>
          <w:color w:val="000000"/>
          <w:kern w:val="0"/>
          <w:szCs w:val="32"/>
          <w:shd w:val="clear" w:color="auto" w:fill="FFFFFF"/>
          <w:lang w:bidi="ar"/>
        </w:rPr>
        <w:t>（或个人）</w:t>
      </w:r>
      <w:r>
        <w:rPr>
          <w:rFonts w:hint="default" w:ascii="Times New Roman" w:hAnsi="Times New Roman" w:cs="Times New Roman"/>
          <w:color w:val="000000"/>
          <w:kern w:val="0"/>
          <w:szCs w:val="32"/>
          <w:shd w:val="clear" w:color="auto" w:fill="FFFFFF"/>
          <w:lang w:bidi="ar"/>
        </w:rPr>
        <w:t>必须严格按照规划行政主管部门审定的</w:t>
      </w:r>
      <w:r>
        <w:rPr>
          <w:rFonts w:hint="default" w:ascii="Times New Roman" w:hAnsi="Times New Roman" w:cs="Times New Roman"/>
          <w:color w:val="000000"/>
          <w:kern w:val="0"/>
          <w:szCs w:val="32"/>
          <w:shd w:val="clear" w:color="auto" w:fill="FFFFFF"/>
          <w:lang w:bidi="ar"/>
        </w:rPr>
        <w:t>设计方案（总平面图）</w:t>
      </w:r>
      <w:r>
        <w:rPr>
          <w:rFonts w:hint="default" w:ascii="Times New Roman" w:hAnsi="Times New Roman" w:cs="Times New Roman"/>
          <w:color w:val="000000"/>
          <w:kern w:val="0"/>
          <w:szCs w:val="32"/>
          <w:shd w:val="clear" w:color="auto" w:fill="FFFFFF"/>
          <w:lang w:bidi="ar"/>
        </w:rPr>
        <w:t>实施绿化建设，其基本建设投资中应当包括配套绿化建设的投资。</w:t>
      </w:r>
    </w:p>
    <w:p w14:paraId="614F4A47">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color w:val="0F1115"/>
          <w:shd w:val="clear" w:color="auto" w:fill="FFFFFF"/>
        </w:rPr>
      </w:pPr>
      <w:r>
        <w:rPr>
          <w:rFonts w:hint="default" w:ascii="Times New Roman" w:hAnsi="Times New Roman" w:cs="Times New Roman"/>
          <w:b/>
          <w:bCs/>
          <w:color w:val="000000"/>
          <w:szCs w:val="32"/>
        </w:rPr>
        <w:t>第十</w:t>
      </w:r>
      <w:r>
        <w:rPr>
          <w:rFonts w:hint="default" w:ascii="Times New Roman" w:hAnsi="Times New Roman" w:cs="Times New Roman"/>
          <w:b/>
          <w:bCs/>
          <w:color w:val="000000"/>
          <w:szCs w:val="32"/>
          <w:lang w:val="en-US" w:eastAsia="zh-CN"/>
        </w:rPr>
        <w:t>三</w:t>
      </w:r>
      <w:r>
        <w:rPr>
          <w:rFonts w:hint="default" w:ascii="Times New Roman" w:hAnsi="Times New Roman" w:cs="Times New Roman"/>
          <w:b/>
          <w:bCs/>
          <w:color w:val="000000"/>
          <w:szCs w:val="32"/>
        </w:rPr>
        <w:t xml:space="preserve">条 </w:t>
      </w:r>
      <w:r>
        <w:rPr>
          <w:rFonts w:hint="default" w:ascii="Times New Roman" w:hAnsi="Times New Roman" w:cs="Times New Roman"/>
          <w:color w:val="000000"/>
          <w:szCs w:val="32"/>
        </w:rPr>
        <w:t>绿地率面积不能满足</w:t>
      </w:r>
      <w:r>
        <w:rPr>
          <w:rFonts w:hint="default" w:ascii="Times New Roman" w:hAnsi="Times New Roman" w:cs="Times New Roman"/>
          <w:color w:val="000000"/>
          <w:szCs w:val="32"/>
        </w:rPr>
        <w:t>《管理技术规定》</w:t>
      </w:r>
      <w:r>
        <w:rPr>
          <w:rFonts w:hint="default" w:ascii="Times New Roman" w:hAnsi="Times New Roman" w:cs="Times New Roman"/>
          <w:color w:val="000000"/>
          <w:szCs w:val="32"/>
        </w:rPr>
        <w:t>建设指标</w:t>
      </w:r>
      <w:r>
        <w:rPr>
          <w:rFonts w:hint="default" w:ascii="Times New Roman" w:hAnsi="Times New Roman" w:cs="Times New Roman"/>
          <w:color w:val="000000"/>
          <w:szCs w:val="32"/>
        </w:rPr>
        <w:t>（即表1、表2中绿地率标准值）要求</w:t>
      </w:r>
      <w:r>
        <w:rPr>
          <w:rFonts w:hint="default" w:ascii="Times New Roman" w:hAnsi="Times New Roman" w:cs="Times New Roman"/>
          <w:color w:val="000000"/>
          <w:szCs w:val="32"/>
        </w:rPr>
        <w:t>的，</w:t>
      </w:r>
      <w:r>
        <w:rPr>
          <w:rFonts w:hint="default" w:ascii="Times New Roman" w:hAnsi="Times New Roman" w:cs="Times New Roman"/>
          <w:color w:val="0F1115"/>
          <w:shd w:val="clear" w:color="auto" w:fill="FFFFFF"/>
        </w:rPr>
        <w:t>建设单位应向</w:t>
      </w:r>
      <w:r>
        <w:rPr>
          <w:rFonts w:hint="default" w:ascii="Times New Roman" w:hAnsi="Times New Roman" w:cs="Times New Roman"/>
          <w:color w:val="0F1115"/>
          <w:shd w:val="clear" w:color="auto" w:fill="FFFFFF"/>
        </w:rPr>
        <w:t>园林</w:t>
      </w:r>
      <w:r>
        <w:rPr>
          <w:rFonts w:hint="default" w:ascii="Times New Roman" w:hAnsi="Times New Roman" w:cs="Times New Roman"/>
          <w:color w:val="0F1115"/>
          <w:shd w:val="clear" w:color="auto" w:fill="FFFFFF"/>
        </w:rPr>
        <w:t>绿化主管部门缴纳绿化补</w:t>
      </w:r>
      <w:r>
        <w:rPr>
          <w:rFonts w:hint="default" w:ascii="Times New Roman" w:hAnsi="Times New Roman" w:cs="Times New Roman"/>
          <w:color w:val="0F1115"/>
          <w:shd w:val="clear" w:color="auto" w:fill="FFFFFF"/>
        </w:rPr>
        <w:t>偿费（</w:t>
      </w:r>
      <w:r>
        <w:rPr>
          <w:rFonts w:hint="default" w:ascii="Times New Roman" w:hAnsi="Times New Roman" w:cs="Times New Roman"/>
        </w:rPr>
        <w:t>每平方米1000元</w:t>
      </w:r>
      <w:r>
        <w:rPr>
          <w:rFonts w:hint="default" w:ascii="Times New Roman" w:hAnsi="Times New Roman" w:cs="Times New Roman"/>
          <w:color w:val="0F1115"/>
          <w:shd w:val="clear" w:color="auto" w:fill="FFFFFF"/>
        </w:rPr>
        <w:t>），</w:t>
      </w:r>
      <w:r>
        <w:rPr>
          <w:rFonts w:hint="default" w:ascii="Times New Roman" w:hAnsi="Times New Roman" w:cs="Times New Roman"/>
          <w:color w:val="0F1115"/>
          <w:shd w:val="clear" w:color="auto" w:fill="FFFFFF"/>
        </w:rPr>
        <w:t>该费用纳入城市绿化专项资金管理</w:t>
      </w:r>
      <w:r>
        <w:rPr>
          <w:rFonts w:hint="default" w:ascii="Times New Roman" w:hAnsi="Times New Roman" w:cs="Times New Roman"/>
          <w:color w:val="0F1115"/>
          <w:shd w:val="clear" w:color="auto" w:fill="FFFFFF"/>
        </w:rPr>
        <w:t>。</w:t>
      </w:r>
      <w:r>
        <w:rPr>
          <w:rFonts w:hint="default" w:ascii="Times New Roman" w:hAnsi="Times New Roman" w:cs="Times New Roman"/>
          <w:color w:val="0F1115"/>
          <w:shd w:val="clear" w:color="auto" w:fill="FFFFFF"/>
        </w:rPr>
        <w:t>补偿面积=</w:t>
      </w:r>
      <w:r>
        <w:rPr>
          <w:rFonts w:hint="default" w:ascii="Times New Roman" w:hAnsi="Times New Roman" w:cs="Times New Roman"/>
          <w:color w:val="000000"/>
          <w:szCs w:val="32"/>
        </w:rPr>
        <w:t>绿地率标准值对应面积-实际建设绿地面积。</w:t>
      </w:r>
    </w:p>
    <w:p w14:paraId="286DCF20">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color w:val="000000"/>
          <w:szCs w:val="32"/>
        </w:rPr>
      </w:pPr>
      <w:r>
        <w:rPr>
          <w:rFonts w:hint="default" w:ascii="Times New Roman" w:hAnsi="Times New Roman" w:cs="Times New Roman"/>
          <w:b/>
          <w:bCs/>
          <w:szCs w:val="32"/>
        </w:rPr>
        <w:t>第十</w:t>
      </w:r>
      <w:r>
        <w:rPr>
          <w:rFonts w:hint="default" w:ascii="Times New Roman" w:hAnsi="Times New Roman" w:cs="Times New Roman"/>
          <w:b/>
          <w:bCs/>
          <w:szCs w:val="32"/>
          <w:lang w:val="en-US" w:eastAsia="zh-CN"/>
        </w:rPr>
        <w:t>四</w:t>
      </w:r>
      <w:r>
        <w:rPr>
          <w:rFonts w:hint="default" w:ascii="Times New Roman" w:hAnsi="Times New Roman" w:cs="Times New Roman"/>
          <w:b/>
          <w:bCs/>
          <w:szCs w:val="32"/>
        </w:rPr>
        <w:t>条</w:t>
      </w:r>
      <w:r>
        <w:rPr>
          <w:rFonts w:hint="default" w:ascii="Times New Roman" w:hAnsi="Times New Roman" w:cs="Times New Roman"/>
          <w:szCs w:val="32"/>
        </w:rPr>
        <w:t xml:space="preserve"> </w:t>
      </w:r>
      <w:r>
        <w:rPr>
          <w:rFonts w:hint="default" w:ascii="Times New Roman" w:hAnsi="Times New Roman" w:cs="Times New Roman"/>
          <w:color w:val="000000"/>
          <w:szCs w:val="32"/>
        </w:rPr>
        <w:t>工程项目所附属配套停车位（以小汽车计算）最小值无法满足《管理技术规定》建设指标（表3）要求的，建设单位须履行补偿义务，优先采取利用临近地块资源补差、异地建设补差等方式落实缺额车位；无法通过上述方式补足的，应按每个标准车位</w:t>
      </w:r>
      <w:r>
        <w:rPr>
          <w:rFonts w:hint="default" w:ascii="Times New Roman" w:hAnsi="Times New Roman" w:cs="Times New Roman"/>
          <w:color w:val="000000"/>
          <w:szCs w:val="32"/>
        </w:rPr>
        <w:t>6</w:t>
      </w:r>
      <w:r>
        <w:rPr>
          <w:rFonts w:hint="default" w:ascii="Times New Roman" w:hAnsi="Times New Roman" w:cs="Times New Roman"/>
          <w:color w:val="000000"/>
          <w:szCs w:val="32"/>
        </w:rPr>
        <w:t>万元的标准缴纳异地建设补偿款，由城市管理主管部门统筹用于公共停车场建设。</w:t>
      </w:r>
    </w:p>
    <w:p w14:paraId="716DF0FC">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eastAsia="方正小标宋_GBK" w:cs="Times New Roman"/>
          <w:color w:val="000000"/>
          <w:szCs w:val="32"/>
        </w:rPr>
      </w:pPr>
      <w:r>
        <w:rPr>
          <w:rFonts w:hint="default" w:ascii="Times New Roman" w:hAnsi="Times New Roman" w:cs="Times New Roman"/>
          <w:b/>
          <w:bCs/>
          <w:color w:val="000000"/>
          <w:szCs w:val="32"/>
        </w:rPr>
        <w:t>第十</w:t>
      </w:r>
      <w:r>
        <w:rPr>
          <w:rFonts w:hint="default" w:ascii="Times New Roman" w:hAnsi="Times New Roman" w:cs="Times New Roman"/>
          <w:b/>
          <w:bCs/>
          <w:color w:val="000000"/>
          <w:szCs w:val="32"/>
          <w:lang w:val="en-US" w:eastAsia="zh-CN"/>
        </w:rPr>
        <w:t>五</w:t>
      </w:r>
      <w:r>
        <w:rPr>
          <w:rFonts w:hint="default" w:ascii="Times New Roman" w:hAnsi="Times New Roman" w:cs="Times New Roman"/>
          <w:b/>
          <w:bCs/>
          <w:color w:val="000000"/>
          <w:szCs w:val="32"/>
        </w:rPr>
        <w:t xml:space="preserve">条 </w:t>
      </w:r>
      <w:r>
        <w:rPr>
          <w:rFonts w:hint="default" w:ascii="Times New Roman" w:hAnsi="Times New Roman" w:cs="Times New Roman"/>
          <w:color w:val="000000"/>
          <w:szCs w:val="32"/>
        </w:rPr>
        <w:t>城市更新改建类项目，绿地率、停车位指标因客观条件限制无法达到标准的，应以不低于现状指标为底线实施管控。</w:t>
      </w:r>
    </w:p>
    <w:p w14:paraId="5589BC8D">
      <w:pPr>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第四章 土地供应与管理</w:t>
      </w:r>
    </w:p>
    <w:p w14:paraId="77672D49">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b/>
          <w:bCs/>
          <w:szCs w:val="32"/>
        </w:rPr>
      </w:pPr>
    </w:p>
    <w:p w14:paraId="49887ED7">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第十</w:t>
      </w:r>
      <w:r>
        <w:rPr>
          <w:rFonts w:hint="default" w:ascii="Times New Roman" w:hAnsi="Times New Roman" w:cs="Times New Roman"/>
          <w:b/>
          <w:bCs/>
          <w:szCs w:val="32"/>
          <w:lang w:val="en-US" w:eastAsia="zh-CN"/>
        </w:rPr>
        <w:t>六</w:t>
      </w:r>
      <w:r>
        <w:rPr>
          <w:rFonts w:hint="default" w:ascii="Times New Roman" w:hAnsi="Times New Roman" w:cs="Times New Roman"/>
          <w:b/>
          <w:bCs/>
          <w:szCs w:val="32"/>
        </w:rPr>
        <w:t xml:space="preserve">条 </w:t>
      </w:r>
      <w:r>
        <w:rPr>
          <w:rFonts w:hint="default" w:ascii="Times New Roman" w:hAnsi="Times New Roman" w:cs="Times New Roman"/>
          <w:szCs w:val="32"/>
        </w:rPr>
        <w:t>小地块土地出让须严格执行规划设计条件，规范竞买、签约及规划许可办理流程。</w:t>
      </w:r>
    </w:p>
    <w:p w14:paraId="47079DA6">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22"/>
        </w:rPr>
      </w:pPr>
      <w:r>
        <w:rPr>
          <w:rFonts w:hint="default" w:ascii="Times New Roman" w:hAnsi="Times New Roman" w:cs="Times New Roman"/>
          <w:szCs w:val="22"/>
        </w:rPr>
        <w:t>（一）格尔木市自然资源局相关部门在发布有明确规划设计条件的出让公告后，意向竞买人按规定申请并缴纳保证金，通过公开交易方式竞得土地，签订《国有建设用地使用权出让合同》及《成交确认书》。竞得人付清土地出让价款后，凭合同等材料向格尔木市自然资源局相关部门申请核发《建设用地规划许可证》，在取得许可并完成项目建设工程设计方案审定后，再向格尔木市自然资源局相关部门申请办理《建设工程规划许可证》。</w:t>
      </w:r>
    </w:p>
    <w:p w14:paraId="0D9AA281">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22"/>
        </w:rPr>
      </w:pPr>
      <w:r>
        <w:rPr>
          <w:rFonts w:hint="default" w:ascii="Times New Roman" w:hAnsi="Times New Roman" w:cs="Times New Roman"/>
          <w:szCs w:val="22"/>
        </w:rPr>
        <w:t>（二）不得新增供应用地规模≤2000</w:t>
      </w:r>
      <w:r>
        <w:rPr>
          <w:rFonts w:hint="default" w:ascii="Times New Roman" w:hAnsi="Times New Roman" w:cs="Times New Roman"/>
          <w:szCs w:val="22"/>
          <w:lang w:val="en-US" w:eastAsia="zh-CN"/>
        </w:rPr>
        <w:t>m</w:t>
      </w:r>
      <w:r>
        <w:rPr>
          <w:rFonts w:hint="default" w:ascii="Times New Roman" w:hAnsi="Times New Roman" w:cs="Times New Roman"/>
          <w:szCs w:val="22"/>
          <w:vertAlign w:val="superscript"/>
          <w:lang w:val="en-US" w:eastAsia="zh-CN"/>
        </w:rPr>
        <w:t>2</w:t>
      </w:r>
      <w:r>
        <w:rPr>
          <w:rFonts w:hint="default" w:ascii="Times New Roman" w:hAnsi="Times New Roman" w:cs="Times New Roman"/>
          <w:szCs w:val="22"/>
        </w:rPr>
        <w:t>的地块。</w:t>
      </w:r>
    </w:p>
    <w:p w14:paraId="05AA03C4">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22"/>
        </w:rPr>
      </w:pPr>
      <w:r>
        <w:rPr>
          <w:rFonts w:hint="default" w:ascii="Times New Roman" w:hAnsi="Times New Roman" w:cs="Times New Roman"/>
          <w:b/>
          <w:bCs/>
          <w:szCs w:val="32"/>
        </w:rPr>
        <w:t>第十</w:t>
      </w:r>
      <w:r>
        <w:rPr>
          <w:rFonts w:hint="default" w:ascii="Times New Roman" w:hAnsi="Times New Roman" w:cs="Times New Roman"/>
          <w:b/>
          <w:bCs/>
          <w:szCs w:val="32"/>
          <w:lang w:val="en-US" w:eastAsia="zh-CN"/>
        </w:rPr>
        <w:t>七</w:t>
      </w:r>
      <w:r>
        <w:rPr>
          <w:rFonts w:hint="default" w:ascii="Times New Roman" w:hAnsi="Times New Roman" w:cs="Times New Roman"/>
          <w:b/>
          <w:bCs/>
          <w:szCs w:val="32"/>
        </w:rPr>
        <w:t xml:space="preserve">条 </w:t>
      </w:r>
      <w:r>
        <w:rPr>
          <w:rFonts w:hint="default" w:ascii="Times New Roman" w:hAnsi="Times New Roman" w:cs="Times New Roman"/>
          <w:szCs w:val="22"/>
        </w:rPr>
        <w:t>为防止土地碎片化，小地块原则上不得进行分割转让，土地使用权人应整体持有并开发建设。</w:t>
      </w:r>
    </w:p>
    <w:p w14:paraId="1C9CFF60">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22"/>
        </w:rPr>
      </w:pPr>
      <w:r>
        <w:rPr>
          <w:rFonts w:hint="default" w:ascii="Times New Roman" w:hAnsi="Times New Roman" w:cs="Times New Roman"/>
          <w:b/>
          <w:bCs/>
          <w:szCs w:val="32"/>
        </w:rPr>
        <w:t>第十</w:t>
      </w:r>
      <w:r>
        <w:rPr>
          <w:rFonts w:hint="default" w:ascii="Times New Roman" w:hAnsi="Times New Roman" w:cs="Times New Roman"/>
          <w:b/>
          <w:bCs/>
          <w:szCs w:val="32"/>
          <w:lang w:val="en-US" w:eastAsia="zh-CN"/>
        </w:rPr>
        <w:t>八</w:t>
      </w:r>
      <w:r>
        <w:rPr>
          <w:rFonts w:hint="default" w:ascii="Times New Roman" w:hAnsi="Times New Roman" w:cs="Times New Roman"/>
          <w:b/>
          <w:bCs/>
          <w:szCs w:val="32"/>
        </w:rPr>
        <w:t xml:space="preserve">条 </w:t>
      </w:r>
      <w:r>
        <w:rPr>
          <w:rFonts w:hint="default" w:ascii="Times New Roman" w:hAnsi="Times New Roman" w:cs="Times New Roman"/>
          <w:szCs w:val="22"/>
        </w:rPr>
        <w:t>以开发经营（用于销售、出租等经营行为</w:t>
      </w:r>
      <w:r>
        <w:rPr>
          <w:rFonts w:hint="default" w:ascii="Times New Roman" w:hAnsi="Times New Roman" w:cs="Times New Roman"/>
          <w:szCs w:val="22"/>
          <w:lang w:eastAsia="zh-CN"/>
        </w:rPr>
        <w:t>）</w:t>
      </w:r>
      <w:r>
        <w:rPr>
          <w:rFonts w:hint="default" w:ascii="Times New Roman" w:hAnsi="Times New Roman" w:cs="Times New Roman"/>
          <w:szCs w:val="22"/>
        </w:rPr>
        <w:t>为目的建设住宅建筑的，开发建设单位应取得相应房地产开发企业资质。</w:t>
      </w:r>
    </w:p>
    <w:p w14:paraId="63D0411B">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rPr>
      </w:pPr>
      <w:r>
        <w:rPr>
          <w:rFonts w:hint="default" w:ascii="Times New Roman" w:hAnsi="Times New Roman" w:cs="Times New Roman"/>
          <w:b/>
          <w:bCs/>
        </w:rPr>
        <w:t>第十</w:t>
      </w:r>
      <w:r>
        <w:rPr>
          <w:rFonts w:hint="default" w:ascii="Times New Roman" w:hAnsi="Times New Roman" w:cs="Times New Roman"/>
          <w:b/>
          <w:bCs/>
          <w:lang w:val="en-US" w:eastAsia="zh-CN"/>
        </w:rPr>
        <w:t>九</w:t>
      </w:r>
      <w:r>
        <w:rPr>
          <w:rFonts w:hint="default" w:ascii="Times New Roman" w:hAnsi="Times New Roman" w:cs="Times New Roman"/>
          <w:b/>
          <w:bCs/>
        </w:rPr>
        <w:t>条</w:t>
      </w:r>
      <w:r>
        <w:rPr>
          <w:rFonts w:hint="default" w:ascii="Times New Roman" w:hAnsi="Times New Roman" w:cs="Times New Roman"/>
        </w:rPr>
        <w:t xml:space="preserve"> 小地块用途变更与拆改建设须先做安全鉴定，征收或统筹开发范围内不得独立拆建。</w:t>
      </w:r>
    </w:p>
    <w:p w14:paraId="3E8E738F">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rPr>
      </w:pPr>
      <w:r>
        <w:rPr>
          <w:rFonts w:hint="default" w:ascii="Times New Roman" w:hAnsi="Times New Roman" w:cs="Times New Roman"/>
        </w:rPr>
        <w:t>（一）小地块申请用途变更、实施拆改建设时，房屋所有权人或相关责任人必须委托有资质的鉴定机构进行房屋安全鉴定。</w:t>
      </w:r>
    </w:p>
    <w:p w14:paraId="43A504B1">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rPr>
      </w:pPr>
      <w:r>
        <w:rPr>
          <w:rFonts w:hint="default" w:ascii="Times New Roman" w:hAnsi="Times New Roman" w:cs="Times New Roman"/>
        </w:rPr>
        <w:t>（二）小地块位于已确定公布的征收范围内或已确定统筹开发主体的，不能独立进行拆建。</w:t>
      </w:r>
    </w:p>
    <w:p w14:paraId="6FAE46AC">
      <w:pPr>
        <w:pageBreakBefore w:val="0"/>
        <w:widowControl w:val="0"/>
        <w:kinsoku/>
        <w:wordWrap/>
        <w:overflowPunct/>
        <w:topLinePunct w:val="0"/>
        <w:autoSpaceDE/>
        <w:autoSpaceDN/>
        <w:bidi w:val="0"/>
        <w:adjustRightInd/>
        <w:snapToGrid/>
        <w:spacing w:line="576" w:lineRule="exact"/>
        <w:ind w:firstLine="880"/>
        <w:jc w:val="center"/>
        <w:textAlignment w:val="auto"/>
        <w:rPr>
          <w:rFonts w:hint="default" w:ascii="Times New Roman" w:hAnsi="Times New Roman" w:eastAsia="方正小标宋简体" w:cs="Times New Roman"/>
          <w:sz w:val="44"/>
          <w:szCs w:val="44"/>
        </w:rPr>
      </w:pPr>
    </w:p>
    <w:p w14:paraId="6C35E731">
      <w:pPr>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第五章 建设工程规划管理</w:t>
      </w:r>
    </w:p>
    <w:p w14:paraId="3034EED9">
      <w:pPr>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cs="Times New Roman"/>
          <w:b/>
          <w:bCs/>
          <w:szCs w:val="32"/>
        </w:rPr>
      </w:pPr>
    </w:p>
    <w:p w14:paraId="5729192F">
      <w:pPr>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二十</w:t>
      </w:r>
      <w:r>
        <w:rPr>
          <w:rFonts w:hint="default" w:ascii="Times New Roman" w:hAnsi="Times New Roman" w:cs="Times New Roman"/>
          <w:b/>
          <w:bCs/>
          <w:szCs w:val="32"/>
        </w:rPr>
        <w:t xml:space="preserve">条 </w:t>
      </w:r>
      <w:r>
        <w:rPr>
          <w:rFonts w:hint="default" w:ascii="Times New Roman" w:hAnsi="Times New Roman" w:cs="Times New Roman"/>
          <w:szCs w:val="32"/>
        </w:rPr>
        <w:t>小地块的规划建设必须处理好与周边区域的关系，不得损害相邻利害关系人的合法权益，不得影响城市公共空间品质，不得侵占公共通道、公共绿地和市政设施用地。涉及公共利益、公共安全的事项，应依法进行专项论证，采取公示、听证等方式，广泛征求意见，确保决策过程的公开透明和结果公平公正。</w:t>
      </w:r>
    </w:p>
    <w:p w14:paraId="6B0AA9F3">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第二十</w:t>
      </w:r>
      <w:r>
        <w:rPr>
          <w:rFonts w:hint="default" w:ascii="Times New Roman" w:hAnsi="Times New Roman" w:cs="Times New Roman"/>
          <w:b/>
          <w:bCs/>
          <w:szCs w:val="32"/>
        </w:rPr>
        <w:t>一</w:t>
      </w:r>
      <w:r>
        <w:rPr>
          <w:rFonts w:hint="default" w:ascii="Times New Roman" w:hAnsi="Times New Roman" w:cs="Times New Roman"/>
          <w:b/>
          <w:bCs/>
          <w:szCs w:val="32"/>
        </w:rPr>
        <w:t xml:space="preserve">条 </w:t>
      </w:r>
      <w:r>
        <w:rPr>
          <w:rFonts w:hint="default" w:ascii="Times New Roman" w:hAnsi="Times New Roman" w:cs="Times New Roman"/>
          <w:szCs w:val="32"/>
        </w:rPr>
        <w:t>小地块建筑设计应集约高效、风貌统一，强化外观、亮化及专项方案审查要求。</w:t>
      </w:r>
    </w:p>
    <w:p w14:paraId="7E4F0695">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（一）小地块的建筑应以集约化、精细化、创新性为理念进行整合设计，在有限的土地资源上，实现功能、空间、环境和效益的最大化。</w:t>
      </w:r>
    </w:p>
    <w:p w14:paraId="06EA79A6">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（二）建筑风貌应注重与周边环境风貌的协调，提升建筑品质和城市形象。</w:t>
      </w:r>
    </w:p>
    <w:p w14:paraId="061E9F01">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（三）临主次干道建筑应先行上报建筑外观效果图（包含户外广告设施位置、样式），其中三层以上建筑应提供夜景灯光亮化方案。</w:t>
      </w:r>
    </w:p>
    <w:p w14:paraId="2DC81A79">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（四）建设工程设计方案中应针对消防、停车、绿地等进行专项说明。</w:t>
      </w:r>
    </w:p>
    <w:p w14:paraId="0506FCD5">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第二十</w:t>
      </w:r>
      <w:r>
        <w:rPr>
          <w:rFonts w:hint="default" w:ascii="Times New Roman" w:hAnsi="Times New Roman" w:cs="Times New Roman"/>
          <w:b/>
          <w:bCs/>
          <w:szCs w:val="32"/>
        </w:rPr>
        <w:t>二</w:t>
      </w:r>
      <w:r>
        <w:rPr>
          <w:rFonts w:hint="default" w:ascii="Times New Roman" w:hAnsi="Times New Roman" w:cs="Times New Roman"/>
          <w:b/>
          <w:bCs/>
          <w:szCs w:val="32"/>
        </w:rPr>
        <w:t xml:space="preserve">条 </w:t>
      </w:r>
      <w:r>
        <w:rPr>
          <w:rFonts w:hint="default" w:ascii="Times New Roman" w:hAnsi="Times New Roman" w:cs="Times New Roman"/>
          <w:szCs w:val="32"/>
        </w:rPr>
        <w:t>小地块配套设施应坚持同步建设、功能完善，确保与市政及周边区域高效衔接、协调发展。</w:t>
      </w:r>
    </w:p>
    <w:p w14:paraId="11E3F9A2">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（一）小地块配套设施建设应遵循补齐短板、功能完善、安全环保、权责清晰的原则，与主体工程项目同步申请、同步建设、同步规划核实与竣工验收，确保与周边区域协调发展。</w:t>
      </w:r>
    </w:p>
    <w:p w14:paraId="4C86FB8C">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（二）确保给水、排水、电力、通信、燃气等管线与市政干网顺畅接驳，鼓励采用综合管廊等集约化建设模式。</w:t>
      </w:r>
    </w:p>
    <w:p w14:paraId="09E4D409">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（三）合理设置内部通道及出入口，与城市道路顺畅衔接。</w:t>
      </w:r>
    </w:p>
    <w:p w14:paraId="068339D9">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b/>
          <w:bCs/>
          <w:szCs w:val="32"/>
          <w:highlight w:val="lightGray"/>
        </w:rPr>
      </w:pPr>
      <w:r>
        <w:rPr>
          <w:rFonts w:hint="default" w:ascii="Times New Roman" w:hAnsi="Times New Roman" w:cs="Times New Roman"/>
          <w:b/>
          <w:bCs/>
          <w:szCs w:val="32"/>
        </w:rPr>
        <w:t>第二十</w:t>
      </w:r>
      <w:r>
        <w:rPr>
          <w:rFonts w:hint="default" w:ascii="Times New Roman" w:hAnsi="Times New Roman" w:cs="Times New Roman"/>
          <w:b/>
          <w:bCs/>
          <w:szCs w:val="32"/>
          <w:lang w:val="en-US" w:eastAsia="zh-CN"/>
        </w:rPr>
        <w:t>三</w:t>
      </w:r>
      <w:r>
        <w:rPr>
          <w:rFonts w:hint="default" w:ascii="Times New Roman" w:hAnsi="Times New Roman" w:cs="Times New Roman"/>
          <w:b/>
          <w:bCs/>
          <w:szCs w:val="32"/>
        </w:rPr>
        <w:t xml:space="preserve">条 </w:t>
      </w:r>
      <w:r>
        <w:rPr>
          <w:rFonts w:hint="default" w:ascii="Times New Roman" w:hAnsi="Times New Roman" w:cs="Times New Roman"/>
          <w:szCs w:val="32"/>
        </w:rPr>
        <w:t>建筑退线应统筹安全、环境与权益保障，严格执行道路红线退让及拼接管理要求。</w:t>
      </w:r>
    </w:p>
    <w:p w14:paraId="5EB101FF">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（一）建筑退线应以满足公共安全、公共环境健康（通风、采光、日照等）、景观与秩序要求，保障利害关系人权益为原则。</w:t>
      </w:r>
    </w:p>
    <w:p w14:paraId="716E58A6">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（二）临街建筑必须满足《管理技术规定》中关于道路红线的退让要求。</w:t>
      </w:r>
    </w:p>
    <w:p w14:paraId="0A0DE9F9">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（三）若相邻地块采用建筑拼接，在符合《民用建筑设计统一标准》GB50352、《建筑设计防火规范》GB50016、《住宅设计规范》GB50038等相关标准关于消防、日照等的规定，并取得相关利害关系人、权益人同意的情况</w:t>
      </w:r>
      <w:r>
        <w:rPr>
          <w:rFonts w:hint="default" w:ascii="Times New Roman" w:hAnsi="Times New Roman" w:cs="Times New Roman"/>
          <w:color w:val="auto"/>
          <w:szCs w:val="32"/>
        </w:rPr>
        <w:t>下</w:t>
      </w:r>
      <w:r>
        <w:rPr>
          <w:rFonts w:hint="default" w:ascii="Times New Roman" w:hAnsi="Times New Roman" w:cs="Times New Roman"/>
          <w:color w:val="auto"/>
          <w:szCs w:val="32"/>
          <w:highlight w:val="none"/>
        </w:rPr>
        <w:t>（书面同意）</w:t>
      </w:r>
      <w:r>
        <w:rPr>
          <w:rFonts w:hint="default" w:ascii="Times New Roman" w:hAnsi="Times New Roman" w:cs="Times New Roman"/>
          <w:color w:val="auto"/>
          <w:szCs w:val="32"/>
        </w:rPr>
        <w:t>，</w:t>
      </w:r>
      <w:r>
        <w:rPr>
          <w:rFonts w:hint="default" w:ascii="Times New Roman" w:hAnsi="Times New Roman" w:cs="Times New Roman"/>
          <w:szCs w:val="32"/>
        </w:rPr>
        <w:t>拼接部分可不退用地红线（除道路红线外）。</w:t>
      </w:r>
    </w:p>
    <w:p w14:paraId="24786543">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第二十</w:t>
      </w:r>
      <w:r>
        <w:rPr>
          <w:rFonts w:hint="default" w:ascii="Times New Roman" w:hAnsi="Times New Roman" w:cs="Times New Roman"/>
          <w:b/>
          <w:bCs/>
          <w:szCs w:val="32"/>
          <w:lang w:val="en-US" w:eastAsia="zh-CN"/>
        </w:rPr>
        <w:t>四</w:t>
      </w:r>
      <w:r>
        <w:rPr>
          <w:rFonts w:hint="default" w:ascii="Times New Roman" w:hAnsi="Times New Roman" w:cs="Times New Roman"/>
          <w:b/>
          <w:bCs/>
          <w:szCs w:val="32"/>
        </w:rPr>
        <w:t>条</w:t>
      </w:r>
      <w:r>
        <w:rPr>
          <w:rFonts w:hint="default" w:ascii="Times New Roman" w:hAnsi="Times New Roman" w:cs="Times New Roman"/>
          <w:szCs w:val="32"/>
        </w:rPr>
        <w:t xml:space="preserve"> 相邻建筑防火间距应符合《建筑设计防火规范》GB50016基本要求，详见附表4。</w:t>
      </w:r>
    </w:p>
    <w:p w14:paraId="654D5FF6">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第二十</w:t>
      </w:r>
      <w:r>
        <w:rPr>
          <w:rFonts w:hint="default" w:ascii="Times New Roman" w:hAnsi="Times New Roman" w:cs="Times New Roman"/>
          <w:b/>
          <w:bCs/>
          <w:szCs w:val="32"/>
          <w:lang w:val="en-US" w:eastAsia="zh-CN"/>
        </w:rPr>
        <w:t>五</w:t>
      </w:r>
      <w:r>
        <w:rPr>
          <w:rFonts w:hint="default" w:ascii="Times New Roman" w:hAnsi="Times New Roman" w:cs="Times New Roman"/>
          <w:b/>
          <w:bCs/>
          <w:szCs w:val="32"/>
        </w:rPr>
        <w:t>条</w:t>
      </w:r>
      <w:r>
        <w:rPr>
          <w:rFonts w:hint="default" w:ascii="Times New Roman" w:hAnsi="Times New Roman" w:cs="Times New Roman"/>
          <w:szCs w:val="32"/>
        </w:rPr>
        <w:t xml:space="preserve"> 建筑建设应统筹日照、退距与贴邻拼接要求，保障周边权益与公共利益。</w:t>
      </w:r>
    </w:p>
    <w:p w14:paraId="0AF23EB1">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（一）建设内容因《管理技术规定》等规定要求进行建筑退距的，按建筑防火要求进行贴邻、拼接建设的，对周边造成采光影响的应取得利害关系人书面同意，并提供日照分析报告随建设工程设计方案一并报审。</w:t>
      </w:r>
    </w:p>
    <w:p w14:paraId="1D8C91D7">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住宅建筑日照应满足不低于冬至日连续日照1小时的标准（集中绿地应满足在标准的建筑日照阴影线范围之外的绿地面积不应少于1/3，其中应设置老年人、儿童活动场地）；幼儿园和托儿所生活用房的日照应满足冬至日不小于3小时的连续日照标准（幼儿园和托儿所的活动场地应有不少于1/2的活动面积在遮挡建筑冬至日3小时日照阴影线之外）；小学和中学教学楼、医院病房楼、老年人居住建筑的日照应满足冬至日不小于2小时的连续日照标准；宿舍半数及半数以上的居室应满足当地住宅建筑的日照标准。</w:t>
      </w:r>
    </w:p>
    <w:p w14:paraId="766CB468">
      <w:pPr>
        <w:pStyle w:val="3"/>
        <w:pageBreakBefore w:val="0"/>
        <w:widowControl w:val="0"/>
        <w:kinsoku/>
        <w:wordWrap/>
        <w:overflowPunct/>
        <w:topLinePunct w:val="0"/>
        <w:autoSpaceDE/>
        <w:autoSpaceDN/>
        <w:bidi w:val="0"/>
        <w:adjustRightInd/>
        <w:snapToGrid/>
        <w:spacing w:line="576" w:lineRule="exact"/>
        <w:ind w:firstLine="588" w:firstLineChars="183"/>
        <w:jc w:val="both"/>
        <w:textAlignment w:val="auto"/>
        <w:rPr>
          <w:rFonts w:hint="default" w:ascii="Times New Roman" w:hAnsi="Times New Roman" w:cs="Times New Roman"/>
          <w:b w:val="0"/>
          <w:bCs w:val="0"/>
          <w:sz w:val="32"/>
          <w:szCs w:val="32"/>
        </w:rPr>
      </w:pPr>
      <w:r>
        <w:rPr>
          <w:rFonts w:hint="default" w:ascii="Times New Roman" w:hAnsi="Times New Roman" w:cs="Times New Roman"/>
          <w:sz w:val="32"/>
          <w:szCs w:val="32"/>
        </w:rPr>
        <w:t>第二十</w:t>
      </w:r>
      <w:r>
        <w:rPr>
          <w:rFonts w:hint="default" w:ascii="Times New Roman" w:hAnsi="Times New Roman" w:cs="Times New Roman"/>
          <w:sz w:val="32"/>
          <w:szCs w:val="32"/>
          <w:lang w:val="en-US" w:eastAsia="zh-CN"/>
        </w:rPr>
        <w:t>六</w:t>
      </w:r>
      <w:r>
        <w:rPr>
          <w:rFonts w:hint="default" w:ascii="Times New Roman" w:hAnsi="Times New Roman" w:cs="Times New Roman"/>
          <w:sz w:val="32"/>
          <w:szCs w:val="32"/>
        </w:rPr>
        <w:t>条</w:t>
      </w:r>
      <w:r>
        <w:rPr>
          <w:rFonts w:hint="default" w:ascii="Times New Roman" w:hAnsi="Times New Roman" w:cs="Times New Roman"/>
          <w:sz w:val="32"/>
          <w:szCs w:val="32"/>
        </w:rPr>
        <w:t xml:space="preserve"> </w:t>
      </w:r>
      <w:r>
        <w:rPr>
          <w:rFonts w:hint="default" w:ascii="Times New Roman" w:hAnsi="Times New Roman" w:cs="Times New Roman"/>
          <w:b w:val="0"/>
          <w:bCs w:val="0"/>
          <w:sz w:val="32"/>
          <w:szCs w:val="32"/>
        </w:rPr>
        <w:t>进行改建、扩建的建设工程，建设单位应当委托具备相应资质的鉴定机构进行结构安全鉴定，鉴定应涵盖对自身及相邻建筑的安全评估并提出防护措施，</w:t>
      </w:r>
      <w:r>
        <w:rPr>
          <w:rFonts w:hint="default" w:ascii="Times New Roman" w:hAnsi="Times New Roman" w:cs="Times New Roman"/>
          <w:b w:val="0"/>
          <w:bCs w:val="0"/>
          <w:sz w:val="32"/>
          <w:szCs w:val="32"/>
          <w:lang w:val="en-US" w:eastAsia="zh-CN"/>
        </w:rPr>
        <w:t>鉴定</w:t>
      </w:r>
      <w:r>
        <w:rPr>
          <w:rFonts w:hint="default" w:ascii="Times New Roman" w:hAnsi="Times New Roman" w:cs="Times New Roman"/>
          <w:b w:val="0"/>
          <w:bCs w:val="0"/>
          <w:sz w:val="32"/>
          <w:szCs w:val="32"/>
        </w:rPr>
        <w:t>报告应作为审批与监督依据，并对高风险情况实施施工全过程监测。有下列情形之一的，必须在施工前完成此项鉴定：</w:t>
      </w:r>
    </w:p>
    <w:p w14:paraId="5CEADAA6">
      <w:pPr>
        <w:pStyle w:val="3"/>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（一）涉及建筑主体和承重结构变动、加层、扩建、移位或改变建筑用途、使用荷载的；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lang w:val="en-US" w:eastAsia="zh-CN"/>
        </w:rPr>
        <w:t xml:space="preserve">    </w:t>
      </w:r>
      <w:r>
        <w:rPr>
          <w:rFonts w:hint="default" w:ascii="Times New Roman" w:hAnsi="Times New Roman" w:cs="Times New Roman"/>
          <w:b w:val="0"/>
          <w:bCs w:val="0"/>
          <w:sz w:val="32"/>
          <w:szCs w:val="32"/>
        </w:rPr>
        <w:t>（二）建筑已达到或超过设计工作年限需继续使用的；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lang w:val="en-US" w:eastAsia="zh-CN"/>
        </w:rPr>
        <w:t xml:space="preserve">    </w:t>
      </w:r>
      <w:r>
        <w:rPr>
          <w:rFonts w:hint="default" w:ascii="Times New Roman" w:hAnsi="Times New Roman" w:cs="Times New Roman"/>
          <w:b w:val="0"/>
          <w:bCs w:val="0"/>
          <w:sz w:val="32"/>
          <w:szCs w:val="32"/>
        </w:rPr>
        <w:t>（三）原建筑未进行抗震设防或抗震设防标准已提高，需继续使用或进行改造的；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rPr>
        <w:t xml:space="preserve">    </w:t>
      </w:r>
      <w:r>
        <w:rPr>
          <w:rFonts w:hint="default" w:ascii="Times New Roman" w:hAnsi="Times New Roman" w:cs="Times New Roman"/>
          <w:b w:val="0"/>
          <w:bCs w:val="0"/>
          <w:sz w:val="32"/>
          <w:szCs w:val="32"/>
        </w:rPr>
        <w:t>（四）因自然灾害、事故灾害等导致结构受损后需恢复使用或进行改造的；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rPr>
        <w:t xml:space="preserve">    </w:t>
      </w:r>
      <w:r>
        <w:rPr>
          <w:rFonts w:hint="default" w:ascii="Times New Roman" w:hAnsi="Times New Roman" w:cs="Times New Roman"/>
          <w:b w:val="0"/>
          <w:bCs w:val="0"/>
          <w:sz w:val="32"/>
          <w:szCs w:val="32"/>
        </w:rPr>
        <w:t>（五）建设工程涉及深基坑、地下工程、爆破、桩基施工等，可能影响周边建筑及设施安全的；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rPr>
        <w:t xml:space="preserve">    </w:t>
      </w:r>
      <w:r>
        <w:rPr>
          <w:rFonts w:hint="default" w:ascii="Times New Roman" w:hAnsi="Times New Roman" w:cs="Times New Roman"/>
          <w:b w:val="0"/>
          <w:bCs w:val="0"/>
          <w:sz w:val="32"/>
          <w:szCs w:val="32"/>
        </w:rPr>
        <w:t>（六）在施工过程中，相邻建筑、构筑物已出现危及安全的裂缝、变形、沉降等异常迹象的；</w:t>
      </w:r>
      <w:r>
        <w:rPr>
          <w:rFonts w:hint="default" w:ascii="Times New Roman" w:hAnsi="Times New Roman" w:cs="Times New Roman"/>
          <w:b w:val="0"/>
          <w:bCs w:val="0"/>
          <w:sz w:val="32"/>
          <w:szCs w:val="32"/>
        </w:rPr>
        <w:br w:type="textWrapping"/>
      </w:r>
      <w:r>
        <w:rPr>
          <w:rFonts w:hint="default" w:ascii="Times New Roman" w:hAnsi="Times New Roman" w:cs="Times New Roman"/>
          <w:b w:val="0"/>
          <w:bCs w:val="0"/>
          <w:sz w:val="32"/>
          <w:szCs w:val="32"/>
        </w:rPr>
        <w:t xml:space="preserve">    </w:t>
      </w:r>
      <w:r>
        <w:rPr>
          <w:rFonts w:hint="default" w:ascii="Times New Roman" w:hAnsi="Times New Roman" w:cs="Times New Roman"/>
          <w:b w:val="0"/>
          <w:bCs w:val="0"/>
          <w:sz w:val="32"/>
          <w:szCs w:val="32"/>
        </w:rPr>
        <w:t>（七）法律、法规、规章及相关技术标准规定的其他情形。</w:t>
      </w:r>
    </w:p>
    <w:p w14:paraId="486A099C">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第二十</w:t>
      </w:r>
      <w:r>
        <w:rPr>
          <w:rFonts w:hint="default" w:ascii="Times New Roman" w:hAnsi="Times New Roman" w:cs="Times New Roman"/>
          <w:b/>
          <w:bCs/>
          <w:szCs w:val="32"/>
          <w:lang w:val="en-US" w:eastAsia="zh-CN"/>
        </w:rPr>
        <w:t>七</w:t>
      </w:r>
      <w:r>
        <w:rPr>
          <w:rFonts w:hint="default" w:ascii="Times New Roman" w:hAnsi="Times New Roman" w:cs="Times New Roman"/>
          <w:b/>
          <w:bCs/>
          <w:szCs w:val="32"/>
        </w:rPr>
        <w:t>条</w:t>
      </w:r>
      <w:r>
        <w:rPr>
          <w:rFonts w:hint="default" w:ascii="Times New Roman" w:hAnsi="Times New Roman" w:cs="Times New Roman"/>
          <w:szCs w:val="32"/>
        </w:rPr>
        <w:t xml:space="preserve"> </w:t>
      </w:r>
      <w:r>
        <w:rPr>
          <w:rFonts w:hint="default" w:ascii="Times New Roman" w:hAnsi="Times New Roman" w:eastAsia="仿宋_GB2312" w:cs="Times New Roman"/>
          <w:b w:val="0"/>
          <w:bCs w:val="0"/>
          <w:kern w:val="2"/>
          <w:sz w:val="32"/>
          <w:szCs w:val="32"/>
          <w:lang w:val="en-US" w:eastAsia="zh-CN" w:bidi="ar-SA"/>
        </w:rPr>
        <w:t>避免将新改建建筑</w:t>
      </w:r>
      <w:r>
        <w:rPr>
          <w:rFonts w:hint="default" w:ascii="Times New Roman" w:hAnsi="Times New Roman" w:cs="Times New Roman"/>
          <w:szCs w:val="32"/>
        </w:rPr>
        <w:t>的主要进风口布置在污染源（如停车场尾气、垃圾处理站、餐厅油烟排放口）的下风向，同时也要防止自身设备的排风对其他建筑造成热污染或空气污染。</w:t>
      </w:r>
    </w:p>
    <w:p w14:paraId="3DED3639">
      <w:pPr>
        <w:pStyle w:val="3"/>
        <w:pageBreakBefore w:val="0"/>
        <w:widowControl w:val="0"/>
        <w:kinsoku/>
        <w:wordWrap/>
        <w:overflowPunct/>
        <w:topLinePunct w:val="0"/>
        <w:autoSpaceDE/>
        <w:autoSpaceDN/>
        <w:bidi w:val="0"/>
        <w:adjustRightInd/>
        <w:snapToGrid/>
        <w:spacing w:line="576" w:lineRule="exact"/>
        <w:ind w:firstLine="643"/>
        <w:jc w:val="both"/>
        <w:textAlignment w:val="auto"/>
        <w:rPr>
          <w:rFonts w:hint="default" w:ascii="Times New Roman" w:hAnsi="Times New Roman" w:cs="Times New Roman"/>
          <w:b w:val="0"/>
          <w:bCs w:val="0"/>
          <w:sz w:val="32"/>
          <w:szCs w:val="32"/>
        </w:rPr>
      </w:pPr>
      <w:r>
        <w:rPr>
          <w:rFonts w:hint="default" w:ascii="Times New Roman" w:hAnsi="Times New Roman" w:cs="Times New Roman"/>
          <w:sz w:val="32"/>
          <w:szCs w:val="32"/>
        </w:rPr>
        <w:t>第二十</w:t>
      </w:r>
      <w:r>
        <w:rPr>
          <w:rFonts w:hint="default" w:ascii="Times New Roman" w:hAnsi="Times New Roman" w:cs="Times New Roman"/>
          <w:sz w:val="32"/>
          <w:szCs w:val="32"/>
          <w:lang w:val="en-US" w:eastAsia="zh-CN"/>
        </w:rPr>
        <w:t>八</w:t>
      </w:r>
      <w:r>
        <w:rPr>
          <w:rFonts w:hint="default" w:ascii="Times New Roman" w:hAnsi="Times New Roman" w:cs="Times New Roman"/>
          <w:sz w:val="32"/>
          <w:szCs w:val="32"/>
        </w:rPr>
        <w:t>条</w:t>
      </w:r>
      <w:r>
        <w:rPr>
          <w:rFonts w:hint="default" w:ascii="Times New Roman" w:hAnsi="Times New Roman" w:cs="Times New Roman"/>
          <w:sz w:val="32"/>
          <w:szCs w:val="32"/>
        </w:rPr>
        <w:t xml:space="preserve"> </w:t>
      </w:r>
      <w:r>
        <w:rPr>
          <w:rFonts w:hint="default" w:ascii="Times New Roman" w:hAnsi="Times New Roman" w:cs="Times New Roman"/>
          <w:b w:val="0"/>
          <w:bCs w:val="0"/>
          <w:sz w:val="32"/>
          <w:szCs w:val="32"/>
        </w:rPr>
        <w:t>建设单位应根据《格尔木市海绵城市建设技术标准图集》等技术规范，在规划设计阶段编制海绵设计专篇，明确年径流总量控制率等关键指标及具体技术措施。设计成果须报市海绵城市建设服务中心进行专项审查备案，通过后方可办理后续建设许可。项目竣工后，需经海绵城市专项验收合格，并完成备案</w:t>
      </w:r>
      <w:r>
        <w:rPr>
          <w:rFonts w:hint="default" w:ascii="Times New Roman" w:hAnsi="Times New Roman" w:cs="Times New Roman"/>
          <w:b w:val="0"/>
          <w:bCs w:val="0"/>
          <w:sz w:val="32"/>
          <w:szCs w:val="32"/>
        </w:rPr>
        <w:t>。</w:t>
      </w:r>
    </w:p>
    <w:p w14:paraId="2295D2D7">
      <w:pPr>
        <w:pStyle w:val="4"/>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eastAsia="仿宋_GB2312" w:cs="Times New Roman"/>
          <w:b/>
          <w:bCs/>
          <w:kern w:val="2"/>
          <w:sz w:val="32"/>
          <w:szCs w:val="32"/>
          <w:lang w:val="en-US" w:eastAsia="zh-CN" w:bidi="ar-SA"/>
        </w:rPr>
        <w:t>第二十</w:t>
      </w:r>
      <w:r>
        <w:rPr>
          <w:rFonts w:hint="default" w:ascii="Times New Roman" w:hAnsi="Times New Roman" w:cs="Times New Roman"/>
          <w:b/>
          <w:bCs/>
          <w:kern w:val="2"/>
          <w:sz w:val="32"/>
          <w:szCs w:val="32"/>
          <w:lang w:val="en-US" w:eastAsia="zh-CN" w:bidi="ar-SA"/>
        </w:rPr>
        <w:t>九</w:t>
      </w:r>
      <w:r>
        <w:rPr>
          <w:rFonts w:hint="default" w:ascii="Times New Roman" w:hAnsi="Times New Roman" w:eastAsia="仿宋_GB2312" w:cs="Times New Roman"/>
          <w:b/>
          <w:bCs/>
          <w:kern w:val="2"/>
          <w:sz w:val="32"/>
          <w:szCs w:val="32"/>
          <w:lang w:val="en-US" w:eastAsia="zh-CN" w:bidi="ar-SA"/>
        </w:rPr>
        <w:t>条</w:t>
      </w:r>
      <w:r>
        <w:rPr>
          <w:rFonts w:hint="default" w:ascii="Times New Roman" w:hAnsi="Times New Roman" w:cs="Times New Roman"/>
          <w:szCs w:val="32"/>
        </w:rPr>
        <w:t xml:space="preserve"> </w:t>
      </w:r>
      <w:r>
        <w:rPr>
          <w:rFonts w:hint="default" w:ascii="Times New Roman" w:hAnsi="Times New Roman" w:cs="Times New Roman"/>
          <w:szCs w:val="32"/>
        </w:rPr>
        <w:t>建筑节能设计必须严格执行国家、青海省现行建筑节能标准，其中居住建筑节能率不得低于75%。建设单位应在工程设计阶段编制建筑节能设计专篇和节能计算书，明确围护结构保温隔热性能、供暖空调系统能效等关键指标。设计文件须报施工图审查机构进行建筑节能专项审查，合格后方可使用。项目竣工后，应进行建筑节能专项验收，验收不合格的不得通过竣工验收备案。鼓励项目因地制宜采用太阳能光热、光伏建筑一体化等可再生能源技术。</w:t>
      </w:r>
    </w:p>
    <w:p w14:paraId="6DED6D56">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三十</w:t>
      </w:r>
      <w:r>
        <w:rPr>
          <w:rFonts w:hint="default" w:ascii="Times New Roman" w:hAnsi="Times New Roman" w:cs="Times New Roman"/>
          <w:b/>
          <w:bCs/>
          <w:szCs w:val="32"/>
        </w:rPr>
        <w:t xml:space="preserve">条 </w:t>
      </w:r>
      <w:r>
        <w:rPr>
          <w:rFonts w:hint="default" w:ascii="Times New Roman" w:hAnsi="Times New Roman" w:cs="Times New Roman"/>
          <w:szCs w:val="32"/>
        </w:rPr>
        <w:t>规划建设管理不同阶段取得利害关系人同意的核心是通过法定程序保障利害关系人的知情权、参与权和异议权。</w:t>
      </w:r>
    </w:p>
    <w:p w14:paraId="0EEBF02D">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建设工程规划许可（审批前）阶段。利害关系人应重点关注建设工程设计方案中建筑布局、间距、防火、建筑高度及日照分析结论，并在公示期内提出意见。对可能产生重大影响的项目，由格尔木市自然资源局相关部门依法组织听证。</w:t>
      </w:r>
    </w:p>
    <w:p w14:paraId="0D20695E">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建设工程许可变更阶段。若已许可的建设工程发生可能影响周边权益的规划变更，利害关系人应重点关注变更内容（如位置、高度、面积的调整），并通过正式渠道向格尔木市自然资源局相关部门反馈意见。</w:t>
      </w:r>
    </w:p>
    <w:p w14:paraId="6E25F442">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（三）规划核实阶段。利害关系人应重点关注实际建设中是否存在擅自更改建设工程设计方案而影响利害关系人权益的情形，并通过正式渠道向格尔木市自然资源局相关部门反馈意见。</w:t>
      </w:r>
    </w:p>
    <w:p w14:paraId="1C2A4B8F">
      <w:pPr>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黑体" w:cs="Times New Roman"/>
          <w:szCs w:val="32"/>
        </w:rPr>
      </w:pPr>
    </w:p>
    <w:p w14:paraId="0C5F16C1">
      <w:pPr>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第</w:t>
      </w:r>
      <w:r>
        <w:rPr>
          <w:rFonts w:hint="default" w:ascii="Times New Roman" w:hAnsi="Times New Roman" w:eastAsia="黑体" w:cs="Times New Roman"/>
          <w:szCs w:val="32"/>
        </w:rPr>
        <w:t>六</w:t>
      </w:r>
      <w:r>
        <w:rPr>
          <w:rFonts w:hint="default" w:ascii="Times New Roman" w:hAnsi="Times New Roman" w:eastAsia="黑体" w:cs="Times New Roman"/>
          <w:szCs w:val="32"/>
        </w:rPr>
        <w:t>章 监督管理</w:t>
      </w:r>
    </w:p>
    <w:p w14:paraId="32BF9FED">
      <w:pPr>
        <w:pStyle w:val="3"/>
        <w:pageBreakBefore w:val="0"/>
        <w:widowControl w:val="0"/>
        <w:kinsoku/>
        <w:wordWrap/>
        <w:overflowPunct/>
        <w:topLinePunct w:val="0"/>
        <w:autoSpaceDE/>
        <w:autoSpaceDN/>
        <w:bidi w:val="0"/>
        <w:adjustRightInd/>
        <w:snapToGrid/>
        <w:spacing w:line="576" w:lineRule="exact"/>
        <w:ind w:firstLine="1044"/>
        <w:textAlignment w:val="auto"/>
        <w:rPr>
          <w:rFonts w:hint="default" w:ascii="Times New Roman" w:hAnsi="Times New Roman" w:cs="Times New Roman"/>
        </w:rPr>
      </w:pPr>
    </w:p>
    <w:p w14:paraId="08737753">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三十一</w:t>
      </w:r>
      <w:r>
        <w:rPr>
          <w:rFonts w:hint="default" w:ascii="Times New Roman" w:hAnsi="Times New Roman" w:cs="Times New Roman"/>
          <w:b/>
          <w:bCs/>
          <w:szCs w:val="32"/>
        </w:rPr>
        <w:t xml:space="preserve">条 </w:t>
      </w:r>
      <w:r>
        <w:rPr>
          <w:rFonts w:hint="default" w:ascii="Times New Roman" w:hAnsi="Times New Roman" w:cs="Times New Roman"/>
          <w:szCs w:val="32"/>
        </w:rPr>
        <w:t>强化国有建设用地小地块规划建设管理的全过程监督，从规划设计条件出具与土地供应、设计审查与行政许可、工程质量安全监督及配套设施同步建设情况检查、规划核实、后期运维管理等各环节，实施严格、联动、连续的监督管理，确保规划要求与建设标准全面落实，并对违法违规行为依法追究责任。</w:t>
      </w:r>
    </w:p>
    <w:p w14:paraId="1EEB2D8F">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三十</w:t>
      </w:r>
      <w:r>
        <w:rPr>
          <w:rFonts w:hint="default" w:ascii="Times New Roman" w:hAnsi="Times New Roman" w:cs="Times New Roman"/>
          <w:b/>
          <w:bCs/>
          <w:szCs w:val="32"/>
          <w:lang w:val="en-US" w:eastAsia="zh-CN"/>
        </w:rPr>
        <w:t>二</w:t>
      </w:r>
      <w:r>
        <w:rPr>
          <w:rFonts w:hint="default" w:ascii="Times New Roman" w:hAnsi="Times New Roman" w:cs="Times New Roman"/>
          <w:b/>
          <w:bCs/>
          <w:szCs w:val="32"/>
        </w:rPr>
        <w:t xml:space="preserve">条 </w:t>
      </w:r>
      <w:r>
        <w:rPr>
          <w:rFonts w:hint="default" w:ascii="Times New Roman" w:hAnsi="Times New Roman" w:cs="Times New Roman"/>
          <w:szCs w:val="32"/>
        </w:rPr>
        <w:t xml:space="preserve">建设工程土地核验，主要核实土地出让合同约定或划拨决定书的履行情况，核实是否符合《建设用地规划许可证》及其附件、附图等材料的内容，主要内容为总平面布局、建筑单体、主要经济技术指标、公共服务配套设施、临时建设情况、其他规划要求。 </w:t>
      </w:r>
    </w:p>
    <w:p w14:paraId="275F6DFC">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三十</w:t>
      </w:r>
      <w:r>
        <w:rPr>
          <w:rFonts w:hint="default" w:ascii="Times New Roman" w:hAnsi="Times New Roman" w:cs="Times New Roman"/>
          <w:b/>
          <w:bCs/>
          <w:szCs w:val="32"/>
          <w:lang w:val="en-US" w:eastAsia="zh-CN"/>
        </w:rPr>
        <w:t>三</w:t>
      </w:r>
      <w:r>
        <w:rPr>
          <w:rFonts w:hint="default" w:ascii="Times New Roman" w:hAnsi="Times New Roman" w:cs="Times New Roman"/>
          <w:b/>
          <w:bCs/>
          <w:szCs w:val="32"/>
        </w:rPr>
        <w:t xml:space="preserve">条 </w:t>
      </w:r>
      <w:r>
        <w:rPr>
          <w:rFonts w:hint="default" w:ascii="Times New Roman" w:hAnsi="Times New Roman" w:cs="Times New Roman"/>
          <w:szCs w:val="32"/>
        </w:rPr>
        <w:t>规划核实应全面核查土地与建设工程关键指标，确保项目合规实施。</w:t>
      </w:r>
    </w:p>
    <w:p w14:paraId="46005EEE">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（一）土地重点核实内容：规划用途，用地范围，用地性质，用地年限，用地权属，混合比例。</w:t>
      </w:r>
    </w:p>
    <w:p w14:paraId="189FAD72">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（二）建设工程规划许可证及其附图、附件的其他技术要求。</w:t>
      </w:r>
    </w:p>
    <w:p w14:paraId="55823895">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三）规划重点核实内容：规划用地使用性质、场地和边界、计入容积率的建筑面积、建筑密度、建筑层数、建筑高度，总平面布局（建筑平面尺寸、间距、退界）、绿地率、外立面整体效果（外立面造型、主要色彩、主要材质类型）、停车泊位、地下空间开发利用、</w:t>
      </w:r>
      <w:r>
        <w:rPr>
          <w:rFonts w:hint="default" w:ascii="Times New Roman" w:hAnsi="Times New Roman" w:cs="Times New Roman"/>
          <w:szCs w:val="32"/>
        </w:rPr>
        <w:t>公建配套设施</w:t>
      </w:r>
      <w:r>
        <w:rPr>
          <w:rFonts w:hint="default" w:ascii="Times New Roman" w:hAnsi="Times New Roman" w:cs="Times New Roman"/>
          <w:szCs w:val="32"/>
        </w:rPr>
        <w:t>、市政配套设施和项目配套设施的建筑面积和位置。</w:t>
      </w:r>
    </w:p>
    <w:p w14:paraId="2F826372">
      <w:pPr>
        <w:pageBreakBefore w:val="0"/>
        <w:widowControl w:val="0"/>
        <w:kinsoku/>
        <w:wordWrap/>
        <w:overflowPunct/>
        <w:topLinePunct w:val="0"/>
        <w:autoSpaceDE/>
        <w:autoSpaceDN/>
        <w:bidi w:val="0"/>
        <w:adjustRightInd/>
        <w:snapToGrid/>
        <w:spacing w:line="576" w:lineRule="exact"/>
        <w:ind w:firstLine="640"/>
        <w:textAlignment w:val="auto"/>
        <w:rPr>
          <w:rFonts w:hint="default" w:ascii="Times New Roman" w:hAnsi="Times New Roman" w:cs="Times New Roman"/>
          <w:szCs w:val="32"/>
        </w:rPr>
      </w:pPr>
      <w:r>
        <w:rPr>
          <w:rFonts w:hint="default" w:ascii="Times New Roman" w:hAnsi="Times New Roman" w:cs="Times New Roman"/>
          <w:szCs w:val="32"/>
        </w:rPr>
        <w:t>（四）计容面积、建筑高度、建筑物满外尺寸、建筑间距、建筑退界、竖向标高、配套设施、停车位、立面造型和色彩、市政管线、交通工程等方面的规划核实应根据《管理技术规定》的相关要求进行。</w:t>
      </w:r>
    </w:p>
    <w:p w14:paraId="36CA2E30">
      <w:pPr>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第七章 附则</w:t>
      </w:r>
    </w:p>
    <w:p w14:paraId="4B26BAE6">
      <w:pPr>
        <w:pStyle w:val="3"/>
        <w:pageBreakBefore w:val="0"/>
        <w:widowControl w:val="0"/>
        <w:kinsoku/>
        <w:wordWrap/>
        <w:overflowPunct/>
        <w:topLinePunct w:val="0"/>
        <w:autoSpaceDE/>
        <w:autoSpaceDN/>
        <w:bidi w:val="0"/>
        <w:adjustRightInd/>
        <w:snapToGrid/>
        <w:spacing w:line="576" w:lineRule="exact"/>
        <w:ind w:firstLine="1044"/>
        <w:textAlignment w:val="auto"/>
        <w:rPr>
          <w:rFonts w:hint="default" w:ascii="Times New Roman" w:hAnsi="Times New Roman" w:cs="Times New Roman"/>
        </w:rPr>
      </w:pPr>
    </w:p>
    <w:p w14:paraId="52A4CED5">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w:t>
      </w:r>
      <w:r>
        <w:rPr>
          <w:rFonts w:hint="default" w:ascii="Times New Roman" w:hAnsi="Times New Roman" w:cs="Times New Roman"/>
          <w:b/>
          <w:bCs/>
          <w:szCs w:val="32"/>
        </w:rPr>
        <w:t>三十四</w:t>
      </w:r>
      <w:r>
        <w:rPr>
          <w:rFonts w:hint="default" w:ascii="Times New Roman" w:hAnsi="Times New Roman" w:cs="Times New Roman"/>
          <w:b/>
          <w:bCs/>
          <w:szCs w:val="32"/>
        </w:rPr>
        <w:t xml:space="preserve">条 </w:t>
      </w:r>
      <w:r>
        <w:rPr>
          <w:rFonts w:hint="default" w:ascii="Times New Roman" w:hAnsi="Times New Roman" w:cs="Times New Roman"/>
          <w:szCs w:val="32"/>
        </w:rPr>
        <w:t>本规划建设管理办法由格尔木市自然资源局负责解释。</w:t>
      </w:r>
    </w:p>
    <w:p w14:paraId="4CCB7551">
      <w:pPr>
        <w:pageBreakBefore w:val="0"/>
        <w:widowControl w:val="0"/>
        <w:kinsoku/>
        <w:wordWrap/>
        <w:overflowPunct/>
        <w:topLinePunct w:val="0"/>
        <w:autoSpaceDE/>
        <w:autoSpaceDN/>
        <w:bidi w:val="0"/>
        <w:adjustRightInd/>
        <w:snapToGrid/>
        <w:spacing w:line="576" w:lineRule="exact"/>
        <w:ind w:firstLine="643"/>
        <w:textAlignment w:val="auto"/>
        <w:rPr>
          <w:rFonts w:hint="default" w:ascii="Times New Roman" w:hAnsi="Times New Roman" w:cs="Times New Roman"/>
          <w:szCs w:val="32"/>
        </w:rPr>
      </w:pPr>
      <w:r>
        <w:rPr>
          <w:rFonts w:hint="default" w:ascii="Times New Roman" w:hAnsi="Times New Roman" w:cs="Times New Roman"/>
          <w:b/>
          <w:bCs/>
          <w:szCs w:val="32"/>
        </w:rPr>
        <w:t>第三十</w:t>
      </w:r>
      <w:r>
        <w:rPr>
          <w:rFonts w:hint="default" w:ascii="Times New Roman" w:hAnsi="Times New Roman" w:cs="Times New Roman"/>
          <w:b/>
          <w:bCs/>
          <w:szCs w:val="32"/>
          <w:lang w:val="en-US" w:eastAsia="zh-CN"/>
        </w:rPr>
        <w:t>五</w:t>
      </w:r>
      <w:r>
        <w:rPr>
          <w:rFonts w:hint="default" w:ascii="Times New Roman" w:hAnsi="Times New Roman" w:cs="Times New Roman"/>
          <w:b/>
          <w:bCs/>
          <w:szCs w:val="32"/>
        </w:rPr>
        <w:t xml:space="preserve">条 </w:t>
      </w:r>
      <w:r>
        <w:rPr>
          <w:rFonts w:hint="default" w:ascii="Times New Roman" w:hAnsi="Times New Roman" w:cs="Times New Roman"/>
          <w:szCs w:val="32"/>
        </w:rPr>
        <w:t>本规划建设管理办法自公布之日起施行。</w:t>
      </w:r>
    </w:p>
    <w:p w14:paraId="52216FED">
      <w:pPr>
        <w:pStyle w:val="3"/>
        <w:ind w:firstLine="1044"/>
        <w:rPr>
          <w:rFonts w:hint="default" w:ascii="Times New Roman" w:hAnsi="Times New Roman" w:cs="Times New Roman"/>
        </w:rPr>
      </w:pPr>
    </w:p>
    <w:p w14:paraId="4CDED659">
      <w:pPr>
        <w:pStyle w:val="4"/>
        <w:ind w:firstLine="640"/>
        <w:rPr>
          <w:rFonts w:hint="default" w:ascii="Times New Roman" w:hAnsi="Times New Roman" w:cs="Times New Roman"/>
        </w:rPr>
      </w:pPr>
    </w:p>
    <w:p w14:paraId="6D9386EC">
      <w:pPr>
        <w:pStyle w:val="4"/>
        <w:ind w:firstLine="640"/>
        <w:rPr>
          <w:rFonts w:hint="default" w:ascii="Times New Roman" w:hAnsi="Times New Roman" w:cs="Times New Roman"/>
        </w:rPr>
      </w:pPr>
    </w:p>
    <w:p w14:paraId="70FAECE9">
      <w:pPr>
        <w:pStyle w:val="4"/>
        <w:ind w:firstLine="640"/>
        <w:rPr>
          <w:rFonts w:hint="default" w:ascii="Times New Roman" w:hAnsi="Times New Roman" w:cs="Times New Roman"/>
        </w:rPr>
      </w:pPr>
    </w:p>
    <w:p w14:paraId="6F3C759D">
      <w:pPr>
        <w:pStyle w:val="4"/>
        <w:ind w:firstLine="640"/>
        <w:rPr>
          <w:rFonts w:hint="default" w:ascii="Times New Roman" w:hAnsi="Times New Roman" w:cs="Times New Roman"/>
        </w:rPr>
      </w:pPr>
    </w:p>
    <w:p w14:paraId="5E3D27C6">
      <w:pPr>
        <w:pStyle w:val="4"/>
        <w:ind w:firstLine="640"/>
        <w:rPr>
          <w:rFonts w:hint="default" w:ascii="Times New Roman" w:hAnsi="Times New Roman" w:cs="Times New Roman"/>
        </w:rPr>
      </w:pPr>
    </w:p>
    <w:p w14:paraId="01FB7F4C">
      <w:pPr>
        <w:pStyle w:val="4"/>
        <w:ind w:firstLine="640"/>
        <w:rPr>
          <w:rFonts w:hint="default" w:ascii="Times New Roman" w:hAnsi="Times New Roman" w:cs="Times New Roman"/>
        </w:rPr>
      </w:pPr>
    </w:p>
    <w:p w14:paraId="75B6F352">
      <w:pPr>
        <w:pStyle w:val="4"/>
        <w:ind w:firstLine="640"/>
        <w:rPr>
          <w:rFonts w:hint="default" w:ascii="Times New Roman" w:hAnsi="Times New Roman" w:cs="Times New Roman"/>
        </w:rPr>
      </w:pPr>
    </w:p>
    <w:p w14:paraId="405F3ED6">
      <w:pPr>
        <w:ind w:firstLine="0" w:firstLineChars="0"/>
        <w:rPr>
          <w:rFonts w:hint="default" w:ascii="Times New Roman" w:hAnsi="Times New Roman" w:eastAsia="黑体" w:cs="Times New Roman"/>
          <w:kern w:val="0"/>
          <w:szCs w:val="32"/>
          <w:lang w:bidi="ar"/>
        </w:rPr>
      </w:pPr>
    </w:p>
    <w:p w14:paraId="280B357F">
      <w:pPr>
        <w:ind w:firstLine="0" w:firstLineChars="0"/>
        <w:rPr>
          <w:rFonts w:hint="default" w:ascii="Times New Roman" w:hAnsi="Times New Roman" w:eastAsia="黑体" w:cs="Times New Roman"/>
          <w:kern w:val="0"/>
          <w:szCs w:val="32"/>
          <w:lang w:bidi="ar"/>
        </w:rPr>
      </w:pPr>
      <w:bookmarkStart w:id="0" w:name="_GoBack"/>
      <w:bookmarkEnd w:id="0"/>
      <w:r>
        <w:rPr>
          <w:rFonts w:hint="default" w:ascii="Times New Roman" w:hAnsi="Times New Roman" w:eastAsia="黑体" w:cs="Times New Roman"/>
          <w:kern w:val="0"/>
          <w:szCs w:val="32"/>
          <w:lang w:bidi="ar"/>
        </w:rPr>
        <w:t>附表</w:t>
      </w:r>
    </w:p>
    <w:p w14:paraId="72AE9C08">
      <w:pPr>
        <w:pStyle w:val="3"/>
        <w:ind w:firstLine="1044"/>
        <w:rPr>
          <w:rFonts w:hint="default" w:ascii="Times New Roman" w:hAnsi="Times New Roman" w:cs="Times New Roman"/>
        </w:rPr>
      </w:pPr>
    </w:p>
    <w:p w14:paraId="615683AD">
      <w:pPr>
        <w:spacing w:line="576" w:lineRule="exact"/>
        <w:ind w:firstLine="0" w:firstLineChars="0"/>
        <w:jc w:val="center"/>
        <w:rPr>
          <w:rFonts w:hint="default" w:ascii="Times New Roman" w:hAnsi="Times New Roman" w:eastAsia="方正小标宋简体" w:cs="Times New Roman"/>
          <w:kern w:val="0"/>
          <w:szCs w:val="32"/>
          <w:lang w:bidi="ar"/>
        </w:rPr>
      </w:pPr>
      <w:r>
        <w:rPr>
          <w:rFonts w:hint="default" w:ascii="Times New Roman" w:hAnsi="Times New Roman" w:eastAsia="方正小标宋简体" w:cs="Times New Roman"/>
          <w:kern w:val="0"/>
          <w:szCs w:val="32"/>
          <w:lang w:bidi="ar"/>
        </w:rPr>
        <w:t>表1： 居住用地小地块规划指标弹性控制表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2290"/>
        <w:gridCol w:w="1098"/>
        <w:gridCol w:w="1464"/>
        <w:gridCol w:w="1239"/>
        <w:gridCol w:w="1203"/>
      </w:tblGrid>
      <w:tr w14:paraId="5022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blHeader/>
        </w:trPr>
        <w:tc>
          <w:tcPr>
            <w:tcW w:w="973" w:type="pct"/>
            <w:noWrap w:val="0"/>
            <w:vAlign w:val="center"/>
          </w:tcPr>
          <w:p w14:paraId="0B6756A3">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用地类型</w:t>
            </w:r>
          </w:p>
        </w:tc>
        <w:tc>
          <w:tcPr>
            <w:tcW w:w="1264" w:type="pct"/>
            <w:noWrap w:val="0"/>
            <w:vAlign w:val="center"/>
          </w:tcPr>
          <w:p w14:paraId="089780C5">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建筑平均层数</w:t>
            </w:r>
          </w:p>
        </w:tc>
        <w:tc>
          <w:tcPr>
            <w:tcW w:w="606" w:type="pct"/>
            <w:noWrap w:val="0"/>
            <w:vAlign w:val="center"/>
          </w:tcPr>
          <w:p w14:paraId="3F031E03">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容积率最大值</w:t>
            </w:r>
          </w:p>
        </w:tc>
        <w:tc>
          <w:tcPr>
            <w:tcW w:w="808" w:type="pct"/>
            <w:noWrap w:val="0"/>
            <w:vAlign w:val="center"/>
          </w:tcPr>
          <w:p w14:paraId="112DA09B">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建筑密度最大值（%）</w:t>
            </w:r>
          </w:p>
        </w:tc>
        <w:tc>
          <w:tcPr>
            <w:tcW w:w="682" w:type="pct"/>
            <w:noWrap w:val="0"/>
            <w:vAlign w:val="center"/>
          </w:tcPr>
          <w:p w14:paraId="7E2F70C9">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绿地率最小值（%）</w:t>
            </w:r>
          </w:p>
        </w:tc>
        <w:tc>
          <w:tcPr>
            <w:tcW w:w="664" w:type="pct"/>
            <w:noWrap w:val="0"/>
            <w:vAlign w:val="center"/>
          </w:tcPr>
          <w:p w14:paraId="2033B807">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绿地率标准值（%）</w:t>
            </w:r>
          </w:p>
        </w:tc>
      </w:tr>
      <w:tr w14:paraId="094A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pct"/>
            <w:gridSpan w:val="5"/>
            <w:shd w:val="clear" w:color="auto" w:fill="D7D7D7"/>
            <w:noWrap w:val="0"/>
            <w:vAlign w:val="center"/>
          </w:tcPr>
          <w:p w14:paraId="0D122BB8">
            <w:pPr>
              <w:spacing w:line="240" w:lineRule="auto"/>
              <w:ind w:firstLine="0" w:firstLineChars="0"/>
              <w:rPr>
                <w:rFonts w:hint="default" w:ascii="Times New Roman" w:hAnsi="Times New Roman" w:eastAsia="宋体" w:cs="Times New Roman"/>
                <w:sz w:val="24"/>
              </w:rPr>
            </w:pPr>
            <w:r>
              <w:rPr>
                <w:rFonts w:hint="default" w:ascii="Times New Roman" w:hAnsi="Times New Roman" w:eastAsia="宋体" w:cs="Times New Roman"/>
                <w:sz w:val="24"/>
              </w:rPr>
              <w:t>用地规模≤1000㎡的地块</w:t>
            </w:r>
          </w:p>
        </w:tc>
        <w:tc>
          <w:tcPr>
            <w:tcW w:w="664" w:type="pct"/>
            <w:shd w:val="clear" w:color="auto" w:fill="D7D7D7"/>
            <w:noWrap w:val="0"/>
            <w:vAlign w:val="center"/>
          </w:tcPr>
          <w:p w14:paraId="0B6EB7AA">
            <w:pPr>
              <w:spacing w:line="240" w:lineRule="auto"/>
              <w:ind w:firstLine="480"/>
              <w:jc w:val="center"/>
              <w:rPr>
                <w:rFonts w:hint="default" w:ascii="Times New Roman" w:hAnsi="Times New Roman" w:eastAsia="宋体" w:cs="Times New Roman"/>
                <w:sz w:val="24"/>
              </w:rPr>
            </w:pPr>
          </w:p>
        </w:tc>
      </w:tr>
      <w:tr w14:paraId="2D8E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973" w:type="pct"/>
            <w:noWrap w:val="0"/>
            <w:vAlign w:val="center"/>
          </w:tcPr>
          <w:p w14:paraId="69D7425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城镇住宅用地0701</w:t>
            </w:r>
          </w:p>
        </w:tc>
        <w:tc>
          <w:tcPr>
            <w:tcW w:w="1264" w:type="pct"/>
            <w:noWrap w:val="0"/>
            <w:vAlign w:val="center"/>
          </w:tcPr>
          <w:p w14:paraId="396E522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06" w:type="pct"/>
            <w:noWrap w:val="0"/>
            <w:vAlign w:val="center"/>
          </w:tcPr>
          <w:p w14:paraId="31BC65A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808" w:type="pct"/>
            <w:noWrap w:val="0"/>
            <w:vAlign w:val="center"/>
          </w:tcPr>
          <w:p w14:paraId="305CDFA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47</w:t>
            </w:r>
          </w:p>
        </w:tc>
        <w:tc>
          <w:tcPr>
            <w:tcW w:w="682" w:type="pct"/>
            <w:noWrap w:val="0"/>
            <w:vAlign w:val="center"/>
          </w:tcPr>
          <w:p w14:paraId="03C3493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4" w:type="pct"/>
            <w:noWrap w:val="0"/>
            <w:vAlign w:val="center"/>
          </w:tcPr>
          <w:p w14:paraId="3AE058C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23</w:t>
            </w:r>
          </w:p>
        </w:tc>
      </w:tr>
      <w:tr w14:paraId="025D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noWrap w:val="0"/>
            <w:vAlign w:val="center"/>
          </w:tcPr>
          <w:p w14:paraId="622E57A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城镇社区服务设施用地0702</w:t>
            </w:r>
          </w:p>
        </w:tc>
        <w:tc>
          <w:tcPr>
            <w:tcW w:w="1264" w:type="pct"/>
            <w:noWrap w:val="0"/>
            <w:vAlign w:val="center"/>
          </w:tcPr>
          <w:p w14:paraId="5437D0ED">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06" w:type="pct"/>
            <w:noWrap w:val="0"/>
            <w:vAlign w:val="center"/>
          </w:tcPr>
          <w:p w14:paraId="490C112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808" w:type="pct"/>
            <w:noWrap w:val="0"/>
            <w:vAlign w:val="center"/>
          </w:tcPr>
          <w:p w14:paraId="6134E96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47</w:t>
            </w:r>
          </w:p>
        </w:tc>
        <w:tc>
          <w:tcPr>
            <w:tcW w:w="682" w:type="pct"/>
            <w:noWrap w:val="0"/>
            <w:vAlign w:val="center"/>
          </w:tcPr>
          <w:p w14:paraId="2AA5E42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4" w:type="pct"/>
            <w:noWrap w:val="0"/>
            <w:vAlign w:val="center"/>
          </w:tcPr>
          <w:p w14:paraId="0D271DC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23</w:t>
            </w:r>
          </w:p>
        </w:tc>
      </w:tr>
      <w:tr w14:paraId="3705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pct"/>
            <w:gridSpan w:val="5"/>
            <w:shd w:val="clear" w:color="auto" w:fill="D7D7D7"/>
            <w:noWrap w:val="0"/>
            <w:vAlign w:val="center"/>
          </w:tcPr>
          <w:p w14:paraId="536FA2EF">
            <w:pPr>
              <w:spacing w:line="240" w:lineRule="auto"/>
              <w:ind w:firstLine="0" w:firstLineChars="0"/>
              <w:rPr>
                <w:rFonts w:hint="default" w:ascii="Times New Roman" w:hAnsi="Times New Roman" w:eastAsia="宋体" w:cs="Times New Roman"/>
                <w:sz w:val="24"/>
              </w:rPr>
            </w:pPr>
            <w:r>
              <w:rPr>
                <w:rFonts w:hint="default" w:ascii="Times New Roman" w:hAnsi="Times New Roman" w:eastAsia="宋体" w:cs="Times New Roman"/>
                <w:sz w:val="24"/>
              </w:rPr>
              <w:t>1000㎡＜用地规模≤2000㎡的地块</w:t>
            </w:r>
          </w:p>
        </w:tc>
        <w:tc>
          <w:tcPr>
            <w:tcW w:w="664" w:type="pct"/>
            <w:shd w:val="clear" w:color="auto" w:fill="D7D7D7"/>
            <w:noWrap w:val="0"/>
            <w:vAlign w:val="center"/>
          </w:tcPr>
          <w:p w14:paraId="5DA52425">
            <w:pPr>
              <w:spacing w:line="240" w:lineRule="auto"/>
              <w:ind w:firstLine="480"/>
              <w:jc w:val="center"/>
              <w:rPr>
                <w:rFonts w:hint="default" w:ascii="Times New Roman" w:hAnsi="Times New Roman" w:eastAsia="宋体" w:cs="Times New Roman"/>
                <w:sz w:val="24"/>
              </w:rPr>
            </w:pPr>
          </w:p>
        </w:tc>
      </w:tr>
      <w:tr w14:paraId="4387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vMerge w:val="restart"/>
            <w:noWrap w:val="0"/>
            <w:vAlign w:val="center"/>
          </w:tcPr>
          <w:p w14:paraId="5B41287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城镇住宅用地0701</w:t>
            </w:r>
          </w:p>
        </w:tc>
        <w:tc>
          <w:tcPr>
            <w:tcW w:w="1264" w:type="pct"/>
            <w:noWrap w:val="0"/>
            <w:vAlign w:val="center"/>
          </w:tcPr>
          <w:p w14:paraId="05AD46D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06" w:type="pct"/>
            <w:noWrap w:val="0"/>
            <w:vAlign w:val="center"/>
          </w:tcPr>
          <w:p w14:paraId="35266C5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808" w:type="pct"/>
            <w:noWrap w:val="0"/>
            <w:vAlign w:val="center"/>
          </w:tcPr>
          <w:p w14:paraId="051A4AB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47</w:t>
            </w:r>
          </w:p>
        </w:tc>
        <w:tc>
          <w:tcPr>
            <w:tcW w:w="682" w:type="pct"/>
            <w:noWrap w:val="0"/>
            <w:vAlign w:val="center"/>
          </w:tcPr>
          <w:p w14:paraId="36B6B27F">
            <w:pPr>
              <w:spacing w:line="240" w:lineRule="auto"/>
              <w:ind w:firstLine="0" w:firstLineChars="0"/>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13</w:t>
            </w:r>
          </w:p>
        </w:tc>
        <w:tc>
          <w:tcPr>
            <w:tcW w:w="664" w:type="pct"/>
            <w:noWrap w:val="0"/>
            <w:vAlign w:val="center"/>
          </w:tcPr>
          <w:p w14:paraId="52DE529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23</w:t>
            </w:r>
          </w:p>
        </w:tc>
      </w:tr>
      <w:tr w14:paraId="1645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vMerge w:val="continue"/>
            <w:noWrap w:val="0"/>
            <w:vAlign w:val="center"/>
          </w:tcPr>
          <w:p w14:paraId="3BFC085F">
            <w:pPr>
              <w:spacing w:line="240" w:lineRule="auto"/>
              <w:ind w:firstLine="480"/>
              <w:jc w:val="center"/>
              <w:rPr>
                <w:rFonts w:hint="default" w:ascii="Times New Roman" w:hAnsi="Times New Roman" w:eastAsia="宋体" w:cs="Times New Roman"/>
                <w:sz w:val="24"/>
              </w:rPr>
            </w:pPr>
          </w:p>
        </w:tc>
        <w:tc>
          <w:tcPr>
            <w:tcW w:w="1264" w:type="pct"/>
            <w:noWrap w:val="0"/>
            <w:vAlign w:val="center"/>
          </w:tcPr>
          <w:p w14:paraId="65F1708D">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多层Ⅰ类（4～6层）</w:t>
            </w:r>
          </w:p>
        </w:tc>
        <w:tc>
          <w:tcPr>
            <w:tcW w:w="606" w:type="pct"/>
            <w:noWrap w:val="0"/>
            <w:vAlign w:val="center"/>
          </w:tcPr>
          <w:p w14:paraId="13E2796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1.7</w:t>
            </w:r>
          </w:p>
        </w:tc>
        <w:tc>
          <w:tcPr>
            <w:tcW w:w="808" w:type="pct"/>
            <w:noWrap w:val="0"/>
            <w:vAlign w:val="center"/>
          </w:tcPr>
          <w:p w14:paraId="0C926DC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38</w:t>
            </w:r>
          </w:p>
        </w:tc>
        <w:tc>
          <w:tcPr>
            <w:tcW w:w="682" w:type="pct"/>
            <w:noWrap w:val="0"/>
            <w:vAlign w:val="center"/>
          </w:tcPr>
          <w:p w14:paraId="2D30A4B1">
            <w:pPr>
              <w:spacing w:line="240" w:lineRule="auto"/>
              <w:ind w:firstLine="0" w:firstLineChars="0"/>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18</w:t>
            </w:r>
          </w:p>
        </w:tc>
        <w:tc>
          <w:tcPr>
            <w:tcW w:w="664" w:type="pct"/>
            <w:noWrap w:val="0"/>
            <w:vAlign w:val="center"/>
          </w:tcPr>
          <w:p w14:paraId="0F31A81D">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28</w:t>
            </w:r>
          </w:p>
        </w:tc>
      </w:tr>
      <w:tr w14:paraId="67E1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973" w:type="pct"/>
            <w:vMerge w:val="continue"/>
            <w:noWrap w:val="0"/>
            <w:vAlign w:val="center"/>
          </w:tcPr>
          <w:p w14:paraId="59B9F727">
            <w:pPr>
              <w:spacing w:line="240" w:lineRule="auto"/>
              <w:ind w:firstLine="480"/>
              <w:jc w:val="center"/>
              <w:rPr>
                <w:rFonts w:hint="default" w:ascii="Times New Roman" w:hAnsi="Times New Roman" w:eastAsia="宋体" w:cs="Times New Roman"/>
                <w:sz w:val="24"/>
              </w:rPr>
            </w:pPr>
          </w:p>
        </w:tc>
        <w:tc>
          <w:tcPr>
            <w:tcW w:w="1264" w:type="pct"/>
            <w:noWrap w:val="0"/>
            <w:vAlign w:val="center"/>
          </w:tcPr>
          <w:p w14:paraId="0E95839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多层Ⅱ类（7～9层）</w:t>
            </w:r>
          </w:p>
        </w:tc>
        <w:tc>
          <w:tcPr>
            <w:tcW w:w="606" w:type="pct"/>
            <w:noWrap w:val="0"/>
            <w:vAlign w:val="center"/>
          </w:tcPr>
          <w:p w14:paraId="4B8A8D2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1.9</w:t>
            </w:r>
          </w:p>
        </w:tc>
        <w:tc>
          <w:tcPr>
            <w:tcW w:w="808" w:type="pct"/>
            <w:noWrap w:val="0"/>
            <w:vAlign w:val="center"/>
          </w:tcPr>
          <w:p w14:paraId="7AD7B40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28</w:t>
            </w:r>
          </w:p>
        </w:tc>
        <w:tc>
          <w:tcPr>
            <w:tcW w:w="682" w:type="pct"/>
            <w:noWrap w:val="0"/>
            <w:vAlign w:val="center"/>
          </w:tcPr>
          <w:p w14:paraId="144B6C43">
            <w:pPr>
              <w:spacing w:line="240" w:lineRule="auto"/>
              <w:ind w:firstLine="0" w:firstLineChars="0"/>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20</w:t>
            </w:r>
          </w:p>
        </w:tc>
        <w:tc>
          <w:tcPr>
            <w:tcW w:w="664" w:type="pct"/>
            <w:noWrap w:val="0"/>
            <w:vAlign w:val="center"/>
          </w:tcPr>
          <w:p w14:paraId="3B37739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30</w:t>
            </w:r>
          </w:p>
        </w:tc>
      </w:tr>
      <w:tr w14:paraId="5157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vMerge w:val="restart"/>
            <w:noWrap w:val="0"/>
            <w:vAlign w:val="center"/>
          </w:tcPr>
          <w:p w14:paraId="6A48368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城镇社区服务设施用地0702</w:t>
            </w:r>
          </w:p>
        </w:tc>
        <w:tc>
          <w:tcPr>
            <w:tcW w:w="1264" w:type="pct"/>
            <w:noWrap w:val="0"/>
            <w:vAlign w:val="center"/>
          </w:tcPr>
          <w:p w14:paraId="31F88EE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06" w:type="pct"/>
            <w:noWrap w:val="0"/>
            <w:vAlign w:val="center"/>
          </w:tcPr>
          <w:p w14:paraId="4C759E7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808" w:type="pct"/>
            <w:noWrap w:val="0"/>
            <w:vAlign w:val="center"/>
          </w:tcPr>
          <w:p w14:paraId="5C347C0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47</w:t>
            </w:r>
          </w:p>
        </w:tc>
        <w:tc>
          <w:tcPr>
            <w:tcW w:w="682" w:type="pct"/>
            <w:noWrap w:val="0"/>
            <w:vAlign w:val="center"/>
          </w:tcPr>
          <w:p w14:paraId="1840A406">
            <w:pPr>
              <w:spacing w:line="240" w:lineRule="auto"/>
              <w:ind w:firstLine="0" w:firstLineChars="0"/>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13</w:t>
            </w:r>
          </w:p>
        </w:tc>
        <w:tc>
          <w:tcPr>
            <w:tcW w:w="664" w:type="pct"/>
            <w:noWrap w:val="0"/>
            <w:vAlign w:val="center"/>
          </w:tcPr>
          <w:p w14:paraId="2AB1F12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23</w:t>
            </w:r>
          </w:p>
        </w:tc>
      </w:tr>
      <w:tr w14:paraId="1CE1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pct"/>
            <w:vMerge w:val="continue"/>
            <w:noWrap w:val="0"/>
            <w:vAlign w:val="center"/>
          </w:tcPr>
          <w:p w14:paraId="33F38134">
            <w:pPr>
              <w:spacing w:line="240" w:lineRule="auto"/>
              <w:ind w:firstLine="480"/>
              <w:jc w:val="center"/>
              <w:rPr>
                <w:rFonts w:hint="default" w:ascii="Times New Roman" w:hAnsi="Times New Roman" w:eastAsia="宋体" w:cs="Times New Roman"/>
                <w:sz w:val="24"/>
              </w:rPr>
            </w:pPr>
          </w:p>
        </w:tc>
        <w:tc>
          <w:tcPr>
            <w:tcW w:w="1264" w:type="pct"/>
            <w:noWrap w:val="0"/>
            <w:vAlign w:val="center"/>
          </w:tcPr>
          <w:p w14:paraId="0249DB8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多层Ⅰ类（4～6层）</w:t>
            </w:r>
          </w:p>
        </w:tc>
        <w:tc>
          <w:tcPr>
            <w:tcW w:w="606" w:type="pct"/>
            <w:noWrap w:val="0"/>
            <w:vAlign w:val="center"/>
          </w:tcPr>
          <w:p w14:paraId="1287853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2.2</w:t>
            </w:r>
          </w:p>
        </w:tc>
        <w:tc>
          <w:tcPr>
            <w:tcW w:w="808" w:type="pct"/>
            <w:noWrap w:val="0"/>
            <w:vAlign w:val="center"/>
          </w:tcPr>
          <w:p w14:paraId="35CC46AD">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38</w:t>
            </w:r>
          </w:p>
        </w:tc>
        <w:tc>
          <w:tcPr>
            <w:tcW w:w="682" w:type="pct"/>
            <w:noWrap w:val="0"/>
            <w:vAlign w:val="center"/>
          </w:tcPr>
          <w:p w14:paraId="19B41BE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18</w:t>
            </w:r>
          </w:p>
        </w:tc>
        <w:tc>
          <w:tcPr>
            <w:tcW w:w="664" w:type="pct"/>
            <w:noWrap w:val="0"/>
            <w:vAlign w:val="center"/>
          </w:tcPr>
          <w:p w14:paraId="7F25A0D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28</w:t>
            </w:r>
          </w:p>
        </w:tc>
      </w:tr>
    </w:tbl>
    <w:p w14:paraId="543CB168">
      <w:pPr>
        <w:ind w:firstLine="480"/>
        <w:jc w:val="center"/>
        <w:rPr>
          <w:rFonts w:hint="default" w:ascii="Times New Roman" w:hAnsi="Times New Roman" w:eastAsia="黑体" w:cs="Times New Roman"/>
          <w:kern w:val="0"/>
          <w:sz w:val="24"/>
          <w:lang w:bidi="ar"/>
        </w:rPr>
      </w:pPr>
    </w:p>
    <w:p w14:paraId="1AB87861">
      <w:pPr>
        <w:ind w:firstLine="480"/>
        <w:jc w:val="center"/>
        <w:rPr>
          <w:rFonts w:hint="default" w:ascii="Times New Roman" w:hAnsi="Times New Roman" w:eastAsia="黑体" w:cs="Times New Roman"/>
          <w:kern w:val="0"/>
          <w:sz w:val="24"/>
          <w:lang w:bidi="ar"/>
        </w:rPr>
      </w:pPr>
    </w:p>
    <w:p w14:paraId="33413DF3">
      <w:pPr>
        <w:pStyle w:val="3"/>
        <w:ind w:firstLine="1044"/>
        <w:rPr>
          <w:rFonts w:hint="default" w:ascii="Times New Roman" w:hAnsi="Times New Roman" w:cs="Times New Roman"/>
          <w:lang w:bidi="ar"/>
        </w:rPr>
      </w:pPr>
    </w:p>
    <w:p w14:paraId="0C2A4739">
      <w:pPr>
        <w:pStyle w:val="4"/>
        <w:ind w:firstLine="640"/>
        <w:rPr>
          <w:rFonts w:hint="default" w:ascii="Times New Roman" w:hAnsi="Times New Roman" w:cs="Times New Roman"/>
          <w:lang w:bidi="ar"/>
        </w:rPr>
      </w:pPr>
    </w:p>
    <w:p w14:paraId="4D8FC067">
      <w:pPr>
        <w:spacing w:line="576" w:lineRule="exact"/>
        <w:ind w:firstLine="0" w:firstLineChars="0"/>
        <w:jc w:val="both"/>
        <w:rPr>
          <w:rFonts w:hint="default" w:ascii="Times New Roman" w:hAnsi="Times New Roman" w:eastAsia="方正小标宋简体" w:cs="Times New Roman"/>
          <w:kern w:val="0"/>
          <w:szCs w:val="32"/>
          <w:lang w:bidi="ar"/>
        </w:rPr>
      </w:pPr>
    </w:p>
    <w:p w14:paraId="1FE8ABBB">
      <w:pPr>
        <w:spacing w:line="576" w:lineRule="exact"/>
        <w:ind w:firstLine="0" w:firstLineChars="0"/>
        <w:jc w:val="both"/>
        <w:rPr>
          <w:rFonts w:hint="default" w:ascii="Times New Roman" w:hAnsi="Times New Roman" w:eastAsia="方正小标宋简体" w:cs="Times New Roman"/>
          <w:kern w:val="0"/>
          <w:szCs w:val="32"/>
          <w:lang w:bidi="ar"/>
        </w:rPr>
      </w:pPr>
    </w:p>
    <w:p w14:paraId="0CC54CBE">
      <w:pPr>
        <w:spacing w:line="576" w:lineRule="exact"/>
        <w:ind w:firstLine="0" w:firstLineChars="0"/>
        <w:jc w:val="both"/>
        <w:rPr>
          <w:rFonts w:hint="default" w:ascii="Times New Roman" w:hAnsi="Times New Roman" w:eastAsia="方正小标宋简体" w:cs="Times New Roman"/>
          <w:kern w:val="0"/>
          <w:szCs w:val="32"/>
          <w:lang w:bidi="ar"/>
        </w:rPr>
      </w:pPr>
    </w:p>
    <w:p w14:paraId="40AB21F1">
      <w:pPr>
        <w:spacing w:line="576" w:lineRule="exact"/>
        <w:ind w:firstLine="0" w:firstLineChars="0"/>
        <w:jc w:val="both"/>
        <w:rPr>
          <w:rFonts w:hint="default" w:ascii="Times New Roman" w:hAnsi="Times New Roman" w:eastAsia="方正小标宋简体" w:cs="Times New Roman"/>
          <w:kern w:val="0"/>
          <w:szCs w:val="32"/>
          <w:lang w:bidi="ar"/>
        </w:rPr>
      </w:pPr>
    </w:p>
    <w:p w14:paraId="57E517A0">
      <w:pPr>
        <w:spacing w:line="576" w:lineRule="exact"/>
        <w:ind w:firstLine="0" w:firstLineChars="0"/>
        <w:jc w:val="both"/>
        <w:rPr>
          <w:rFonts w:hint="default" w:ascii="Times New Roman" w:hAnsi="Times New Roman" w:eastAsia="方正小标宋简体" w:cs="Times New Roman"/>
          <w:kern w:val="0"/>
          <w:szCs w:val="32"/>
          <w:lang w:bidi="ar"/>
        </w:rPr>
      </w:pPr>
    </w:p>
    <w:p w14:paraId="0AE957B8">
      <w:pPr>
        <w:spacing w:line="576" w:lineRule="exact"/>
        <w:ind w:firstLine="0" w:firstLineChars="0"/>
        <w:jc w:val="both"/>
        <w:rPr>
          <w:rFonts w:hint="default" w:ascii="Times New Roman" w:hAnsi="Times New Roman" w:eastAsia="方正小标宋简体" w:cs="Times New Roman"/>
          <w:kern w:val="0"/>
          <w:szCs w:val="32"/>
          <w:lang w:bidi="ar"/>
        </w:rPr>
      </w:pPr>
    </w:p>
    <w:p w14:paraId="74EE2C5B">
      <w:pPr>
        <w:spacing w:line="576" w:lineRule="exact"/>
        <w:ind w:firstLine="0" w:firstLineChars="0"/>
        <w:jc w:val="both"/>
        <w:rPr>
          <w:rFonts w:hint="default" w:ascii="Times New Roman" w:hAnsi="Times New Roman" w:eastAsia="方正小标宋简体" w:cs="Times New Roman"/>
          <w:kern w:val="0"/>
          <w:szCs w:val="32"/>
          <w:lang w:bidi="ar"/>
        </w:rPr>
      </w:pPr>
    </w:p>
    <w:p w14:paraId="1A2CE070">
      <w:pPr>
        <w:spacing w:line="576" w:lineRule="exact"/>
        <w:ind w:firstLine="0" w:firstLineChars="0"/>
        <w:jc w:val="center"/>
        <w:rPr>
          <w:rFonts w:hint="default" w:ascii="Times New Roman" w:hAnsi="Times New Roman" w:eastAsia="方正小标宋简体" w:cs="Times New Roman"/>
          <w:kern w:val="0"/>
          <w:szCs w:val="32"/>
          <w:lang w:bidi="ar"/>
        </w:rPr>
      </w:pPr>
      <w:r>
        <w:rPr>
          <w:rFonts w:hint="default" w:ascii="Times New Roman" w:hAnsi="Times New Roman" w:eastAsia="方正小标宋简体" w:cs="Times New Roman"/>
          <w:kern w:val="0"/>
          <w:szCs w:val="32"/>
          <w:lang w:bidi="ar"/>
        </w:rPr>
        <w:t>表2：公共管理与公共服务设施用地、商业服务业用地小地块</w:t>
      </w:r>
    </w:p>
    <w:p w14:paraId="6D5E35C8">
      <w:pPr>
        <w:spacing w:line="576" w:lineRule="exact"/>
        <w:ind w:firstLine="0" w:firstLineChars="0"/>
        <w:jc w:val="center"/>
        <w:rPr>
          <w:rFonts w:hint="default" w:ascii="Times New Roman" w:hAnsi="Times New Roman" w:eastAsia="方正小标宋简体" w:cs="Times New Roman"/>
          <w:kern w:val="0"/>
          <w:szCs w:val="32"/>
          <w:lang w:bidi="ar"/>
        </w:rPr>
      </w:pPr>
      <w:r>
        <w:rPr>
          <w:rFonts w:hint="default" w:ascii="Times New Roman" w:hAnsi="Times New Roman" w:eastAsia="方正小标宋简体" w:cs="Times New Roman"/>
          <w:kern w:val="0"/>
          <w:szCs w:val="32"/>
          <w:lang w:bidi="ar"/>
        </w:rPr>
        <w:t>规划指标弹性控制表</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587"/>
        <w:gridCol w:w="1176"/>
        <w:gridCol w:w="1333"/>
        <w:gridCol w:w="1221"/>
        <w:gridCol w:w="1205"/>
      </w:tblGrid>
      <w:tr w14:paraId="4CE5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blHeader/>
        </w:trPr>
        <w:tc>
          <w:tcPr>
            <w:tcW w:w="847" w:type="pct"/>
            <w:noWrap w:val="0"/>
            <w:vAlign w:val="center"/>
          </w:tcPr>
          <w:p w14:paraId="16C09C55">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用地类型</w:t>
            </w:r>
          </w:p>
        </w:tc>
        <w:tc>
          <w:tcPr>
            <w:tcW w:w="1428" w:type="pct"/>
            <w:noWrap w:val="0"/>
            <w:vAlign w:val="center"/>
          </w:tcPr>
          <w:p w14:paraId="51CD91F7">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建筑平均层数</w:t>
            </w:r>
          </w:p>
        </w:tc>
        <w:tc>
          <w:tcPr>
            <w:tcW w:w="649" w:type="pct"/>
            <w:noWrap w:val="0"/>
            <w:vAlign w:val="center"/>
          </w:tcPr>
          <w:p w14:paraId="381C3831">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容积率最大值</w:t>
            </w:r>
          </w:p>
        </w:tc>
        <w:tc>
          <w:tcPr>
            <w:tcW w:w="736" w:type="pct"/>
            <w:noWrap w:val="0"/>
            <w:vAlign w:val="center"/>
          </w:tcPr>
          <w:p w14:paraId="6E254BBD">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建筑密度最大值</w:t>
            </w:r>
          </w:p>
          <w:p w14:paraId="5FF1A671">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w:t>
            </w:r>
          </w:p>
        </w:tc>
        <w:tc>
          <w:tcPr>
            <w:tcW w:w="672" w:type="pct"/>
            <w:noWrap w:val="0"/>
            <w:vAlign w:val="center"/>
          </w:tcPr>
          <w:p w14:paraId="630C08C6">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绿地率</w:t>
            </w:r>
          </w:p>
          <w:p w14:paraId="295F5434">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最小值（%）</w:t>
            </w:r>
          </w:p>
        </w:tc>
        <w:tc>
          <w:tcPr>
            <w:tcW w:w="665" w:type="pct"/>
            <w:noWrap w:val="0"/>
            <w:vAlign w:val="center"/>
          </w:tcPr>
          <w:p w14:paraId="4B8E85CC">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绿地率</w:t>
            </w:r>
          </w:p>
          <w:p w14:paraId="2CD88955">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标准值（%）</w:t>
            </w:r>
          </w:p>
        </w:tc>
      </w:tr>
      <w:tr w14:paraId="41BE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4" w:type="pct"/>
            <w:gridSpan w:val="5"/>
            <w:shd w:val="clear" w:color="auto" w:fill="D7D7D7"/>
            <w:noWrap w:val="0"/>
            <w:vAlign w:val="center"/>
          </w:tcPr>
          <w:p w14:paraId="107F8AAF">
            <w:pPr>
              <w:spacing w:line="240" w:lineRule="auto"/>
              <w:ind w:firstLine="0" w:firstLineChars="0"/>
              <w:rPr>
                <w:rFonts w:hint="default" w:ascii="Times New Roman" w:hAnsi="Times New Roman" w:eastAsia="宋体" w:cs="Times New Roman"/>
                <w:sz w:val="24"/>
              </w:rPr>
            </w:pPr>
            <w:r>
              <w:rPr>
                <w:rFonts w:hint="default" w:ascii="Times New Roman" w:hAnsi="Times New Roman" w:eastAsia="宋体" w:cs="Times New Roman"/>
                <w:sz w:val="24"/>
              </w:rPr>
              <w:t>用地规模≤500㎡的地块</w:t>
            </w:r>
          </w:p>
        </w:tc>
        <w:tc>
          <w:tcPr>
            <w:tcW w:w="665" w:type="pct"/>
            <w:shd w:val="clear" w:color="auto" w:fill="D7D7D7"/>
            <w:noWrap w:val="0"/>
            <w:vAlign w:val="center"/>
          </w:tcPr>
          <w:p w14:paraId="11AB4821">
            <w:pPr>
              <w:spacing w:line="240" w:lineRule="auto"/>
              <w:ind w:firstLine="0" w:firstLineChars="0"/>
              <w:jc w:val="center"/>
              <w:rPr>
                <w:rFonts w:hint="default" w:ascii="Times New Roman" w:hAnsi="Times New Roman" w:eastAsia="宋体" w:cs="Times New Roman"/>
                <w:sz w:val="24"/>
              </w:rPr>
            </w:pPr>
          </w:p>
        </w:tc>
      </w:tr>
      <w:tr w14:paraId="7264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noWrap w:val="0"/>
            <w:vAlign w:val="center"/>
          </w:tcPr>
          <w:p w14:paraId="5984902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公共管理与公共服务设施用地08</w:t>
            </w:r>
          </w:p>
        </w:tc>
        <w:tc>
          <w:tcPr>
            <w:tcW w:w="1428" w:type="pct"/>
            <w:noWrap w:val="0"/>
            <w:vAlign w:val="center"/>
          </w:tcPr>
          <w:p w14:paraId="10A2DF1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51D19D9C">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736" w:type="pct"/>
            <w:noWrap w:val="0"/>
            <w:vAlign w:val="center"/>
          </w:tcPr>
          <w:p w14:paraId="7BB0CBF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55</w:t>
            </w:r>
          </w:p>
        </w:tc>
        <w:tc>
          <w:tcPr>
            <w:tcW w:w="672" w:type="pct"/>
            <w:noWrap w:val="0"/>
            <w:vAlign w:val="center"/>
          </w:tcPr>
          <w:p w14:paraId="3E5DF07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1C7E29A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35</w:t>
            </w:r>
          </w:p>
        </w:tc>
      </w:tr>
      <w:tr w14:paraId="2C62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noWrap w:val="0"/>
            <w:vAlign w:val="center"/>
          </w:tcPr>
          <w:p w14:paraId="7999B0A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商业服务业用地09</w:t>
            </w:r>
          </w:p>
        </w:tc>
        <w:tc>
          <w:tcPr>
            <w:tcW w:w="1428" w:type="pct"/>
            <w:noWrap w:val="0"/>
            <w:vAlign w:val="center"/>
          </w:tcPr>
          <w:p w14:paraId="52DB3AE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0E647FF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1.5</w:t>
            </w:r>
          </w:p>
        </w:tc>
        <w:tc>
          <w:tcPr>
            <w:tcW w:w="736" w:type="pct"/>
            <w:noWrap w:val="0"/>
            <w:vAlign w:val="center"/>
          </w:tcPr>
          <w:p w14:paraId="1502218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55</w:t>
            </w:r>
          </w:p>
        </w:tc>
        <w:tc>
          <w:tcPr>
            <w:tcW w:w="672" w:type="pct"/>
            <w:noWrap w:val="0"/>
            <w:vAlign w:val="center"/>
          </w:tcPr>
          <w:p w14:paraId="6E67AF3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4551046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20</w:t>
            </w:r>
          </w:p>
        </w:tc>
      </w:tr>
      <w:tr w14:paraId="4200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4" w:type="pct"/>
            <w:gridSpan w:val="5"/>
            <w:shd w:val="clear" w:color="auto" w:fill="CFCECE"/>
            <w:noWrap w:val="0"/>
            <w:vAlign w:val="center"/>
          </w:tcPr>
          <w:p w14:paraId="25DEDD75">
            <w:pPr>
              <w:spacing w:line="240" w:lineRule="auto"/>
              <w:ind w:firstLine="0" w:firstLineChars="0"/>
              <w:rPr>
                <w:rFonts w:hint="default" w:ascii="Times New Roman" w:hAnsi="Times New Roman" w:eastAsia="宋体" w:cs="Times New Roman"/>
                <w:sz w:val="24"/>
              </w:rPr>
            </w:pPr>
            <w:r>
              <w:rPr>
                <w:rFonts w:hint="default" w:ascii="Times New Roman" w:hAnsi="Times New Roman" w:eastAsia="宋体" w:cs="Times New Roman"/>
                <w:sz w:val="24"/>
              </w:rPr>
              <w:t>500㎡＜用地规模≤1000㎡的地块</w:t>
            </w:r>
          </w:p>
        </w:tc>
        <w:tc>
          <w:tcPr>
            <w:tcW w:w="665" w:type="pct"/>
            <w:shd w:val="clear" w:color="auto" w:fill="CFCECE"/>
            <w:noWrap w:val="0"/>
            <w:vAlign w:val="center"/>
          </w:tcPr>
          <w:p w14:paraId="5DDDB308">
            <w:pPr>
              <w:spacing w:line="240" w:lineRule="auto"/>
              <w:ind w:firstLine="0" w:firstLineChars="0"/>
              <w:jc w:val="center"/>
              <w:rPr>
                <w:rFonts w:hint="default" w:ascii="Times New Roman" w:hAnsi="Times New Roman" w:eastAsia="宋体" w:cs="Times New Roman"/>
                <w:sz w:val="24"/>
              </w:rPr>
            </w:pPr>
          </w:p>
        </w:tc>
      </w:tr>
      <w:tr w14:paraId="40DB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restart"/>
            <w:noWrap w:val="0"/>
            <w:vAlign w:val="center"/>
          </w:tcPr>
          <w:p w14:paraId="701A2FB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公共管理与公共服务设施用地08</w:t>
            </w:r>
          </w:p>
        </w:tc>
        <w:tc>
          <w:tcPr>
            <w:tcW w:w="1428" w:type="pct"/>
            <w:noWrap w:val="0"/>
            <w:vAlign w:val="center"/>
          </w:tcPr>
          <w:p w14:paraId="45A4ECC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7BECA00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736" w:type="pct"/>
            <w:noWrap w:val="0"/>
            <w:vAlign w:val="center"/>
          </w:tcPr>
          <w:p w14:paraId="599F96C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55</w:t>
            </w:r>
          </w:p>
        </w:tc>
        <w:tc>
          <w:tcPr>
            <w:tcW w:w="672" w:type="pct"/>
            <w:noWrap w:val="0"/>
            <w:vAlign w:val="center"/>
          </w:tcPr>
          <w:p w14:paraId="205CBC9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6532061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35</w:t>
            </w:r>
          </w:p>
        </w:tc>
      </w:tr>
      <w:tr w14:paraId="7A06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continue"/>
            <w:noWrap w:val="0"/>
            <w:vAlign w:val="center"/>
          </w:tcPr>
          <w:p w14:paraId="78F61199">
            <w:pPr>
              <w:spacing w:line="240" w:lineRule="auto"/>
              <w:ind w:firstLine="0" w:firstLineChars="0"/>
              <w:jc w:val="center"/>
              <w:rPr>
                <w:rFonts w:hint="default" w:ascii="Times New Roman" w:hAnsi="Times New Roman" w:eastAsia="宋体" w:cs="Times New Roman"/>
                <w:sz w:val="24"/>
              </w:rPr>
            </w:pPr>
          </w:p>
        </w:tc>
        <w:tc>
          <w:tcPr>
            <w:tcW w:w="1428" w:type="pct"/>
            <w:noWrap w:val="0"/>
            <w:vAlign w:val="center"/>
          </w:tcPr>
          <w:p w14:paraId="1125D2A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多层（4～6层）</w:t>
            </w:r>
          </w:p>
        </w:tc>
        <w:tc>
          <w:tcPr>
            <w:tcW w:w="649" w:type="pct"/>
            <w:noWrap w:val="0"/>
            <w:vAlign w:val="center"/>
          </w:tcPr>
          <w:p w14:paraId="018F379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2.2</w:t>
            </w:r>
          </w:p>
        </w:tc>
        <w:tc>
          <w:tcPr>
            <w:tcW w:w="736" w:type="pct"/>
            <w:noWrap w:val="0"/>
            <w:vAlign w:val="center"/>
          </w:tcPr>
          <w:p w14:paraId="1C29D28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47</w:t>
            </w:r>
          </w:p>
        </w:tc>
        <w:tc>
          <w:tcPr>
            <w:tcW w:w="672" w:type="pct"/>
            <w:noWrap w:val="0"/>
            <w:vAlign w:val="center"/>
          </w:tcPr>
          <w:p w14:paraId="096DABC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5ECBF29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35</w:t>
            </w:r>
          </w:p>
        </w:tc>
      </w:tr>
      <w:tr w14:paraId="68B5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restart"/>
            <w:noWrap w:val="0"/>
            <w:vAlign w:val="center"/>
          </w:tcPr>
          <w:p w14:paraId="2109A41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商业服务业用地09</w:t>
            </w:r>
          </w:p>
        </w:tc>
        <w:tc>
          <w:tcPr>
            <w:tcW w:w="1428" w:type="pct"/>
            <w:noWrap w:val="0"/>
            <w:vAlign w:val="center"/>
          </w:tcPr>
          <w:p w14:paraId="0CF553D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3EC766A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1.5</w:t>
            </w:r>
          </w:p>
        </w:tc>
        <w:tc>
          <w:tcPr>
            <w:tcW w:w="736" w:type="pct"/>
            <w:noWrap w:val="0"/>
            <w:vAlign w:val="center"/>
          </w:tcPr>
          <w:p w14:paraId="22B8EEE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55</w:t>
            </w:r>
          </w:p>
        </w:tc>
        <w:tc>
          <w:tcPr>
            <w:tcW w:w="672" w:type="pct"/>
            <w:noWrap w:val="0"/>
            <w:vAlign w:val="center"/>
          </w:tcPr>
          <w:p w14:paraId="1E79B24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501D07F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20</w:t>
            </w:r>
          </w:p>
        </w:tc>
      </w:tr>
      <w:tr w14:paraId="7D4E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continue"/>
            <w:noWrap w:val="0"/>
            <w:vAlign w:val="center"/>
          </w:tcPr>
          <w:p w14:paraId="4030EEB2">
            <w:pPr>
              <w:spacing w:line="240" w:lineRule="auto"/>
              <w:ind w:firstLine="0" w:firstLineChars="0"/>
              <w:jc w:val="center"/>
              <w:rPr>
                <w:rFonts w:hint="default" w:ascii="Times New Roman" w:hAnsi="Times New Roman" w:eastAsia="宋体" w:cs="Times New Roman"/>
                <w:sz w:val="24"/>
              </w:rPr>
            </w:pPr>
          </w:p>
        </w:tc>
        <w:tc>
          <w:tcPr>
            <w:tcW w:w="1428" w:type="pct"/>
            <w:noWrap w:val="0"/>
            <w:vAlign w:val="center"/>
          </w:tcPr>
          <w:p w14:paraId="370FFEE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多层（4～6层）</w:t>
            </w:r>
          </w:p>
        </w:tc>
        <w:tc>
          <w:tcPr>
            <w:tcW w:w="649" w:type="pct"/>
            <w:noWrap w:val="0"/>
            <w:vAlign w:val="center"/>
          </w:tcPr>
          <w:p w14:paraId="1B2FAE2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2.5</w:t>
            </w:r>
          </w:p>
        </w:tc>
        <w:tc>
          <w:tcPr>
            <w:tcW w:w="736" w:type="pct"/>
            <w:noWrap w:val="0"/>
            <w:vAlign w:val="center"/>
          </w:tcPr>
          <w:p w14:paraId="63C9647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52</w:t>
            </w:r>
          </w:p>
        </w:tc>
        <w:tc>
          <w:tcPr>
            <w:tcW w:w="672" w:type="pct"/>
            <w:noWrap w:val="0"/>
            <w:vAlign w:val="center"/>
          </w:tcPr>
          <w:p w14:paraId="2A98798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c>
          <w:tcPr>
            <w:tcW w:w="665" w:type="pct"/>
            <w:noWrap w:val="0"/>
            <w:vAlign w:val="center"/>
          </w:tcPr>
          <w:p w14:paraId="4FE6FE4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20</w:t>
            </w:r>
          </w:p>
        </w:tc>
      </w:tr>
      <w:tr w14:paraId="5725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4" w:type="pct"/>
            <w:gridSpan w:val="5"/>
            <w:shd w:val="clear" w:color="auto" w:fill="D7D7D7"/>
            <w:noWrap w:val="0"/>
            <w:vAlign w:val="center"/>
          </w:tcPr>
          <w:p w14:paraId="43AACAFE">
            <w:pPr>
              <w:spacing w:line="240" w:lineRule="auto"/>
              <w:ind w:firstLine="0" w:firstLineChars="0"/>
              <w:rPr>
                <w:rFonts w:hint="default" w:ascii="Times New Roman" w:hAnsi="Times New Roman" w:eastAsia="宋体" w:cs="Times New Roman"/>
                <w:sz w:val="24"/>
              </w:rPr>
            </w:pPr>
            <w:r>
              <w:rPr>
                <w:rFonts w:hint="default" w:ascii="Times New Roman" w:hAnsi="Times New Roman" w:eastAsia="宋体" w:cs="Times New Roman"/>
                <w:sz w:val="24"/>
              </w:rPr>
              <w:t>1000㎡＜用地规模≤2000㎡的地块</w:t>
            </w:r>
          </w:p>
        </w:tc>
        <w:tc>
          <w:tcPr>
            <w:tcW w:w="665" w:type="pct"/>
            <w:shd w:val="clear" w:color="auto" w:fill="D7D7D7"/>
            <w:noWrap w:val="0"/>
            <w:vAlign w:val="center"/>
          </w:tcPr>
          <w:p w14:paraId="08007699">
            <w:pPr>
              <w:spacing w:line="240" w:lineRule="auto"/>
              <w:ind w:firstLine="0" w:firstLineChars="0"/>
              <w:jc w:val="center"/>
              <w:rPr>
                <w:rFonts w:hint="default" w:ascii="Times New Roman" w:hAnsi="Times New Roman" w:eastAsia="宋体" w:cs="Times New Roman"/>
                <w:sz w:val="24"/>
              </w:rPr>
            </w:pPr>
          </w:p>
        </w:tc>
      </w:tr>
      <w:tr w14:paraId="625B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restart"/>
            <w:noWrap w:val="0"/>
            <w:vAlign w:val="center"/>
          </w:tcPr>
          <w:p w14:paraId="3493641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公共管理与公共服务设施用地08</w:t>
            </w:r>
          </w:p>
        </w:tc>
        <w:tc>
          <w:tcPr>
            <w:tcW w:w="1428" w:type="pct"/>
            <w:noWrap w:val="0"/>
            <w:vAlign w:val="center"/>
          </w:tcPr>
          <w:p w14:paraId="1C7CAEF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19924E5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736" w:type="pct"/>
            <w:noWrap w:val="0"/>
            <w:vAlign w:val="center"/>
          </w:tcPr>
          <w:p w14:paraId="2B7D5F4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53</w:t>
            </w:r>
          </w:p>
        </w:tc>
        <w:tc>
          <w:tcPr>
            <w:tcW w:w="672" w:type="pct"/>
            <w:noWrap w:val="0"/>
            <w:vAlign w:val="center"/>
          </w:tcPr>
          <w:p w14:paraId="2EE1A6D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25</w:t>
            </w:r>
          </w:p>
        </w:tc>
        <w:tc>
          <w:tcPr>
            <w:tcW w:w="665" w:type="pct"/>
            <w:noWrap w:val="0"/>
            <w:vAlign w:val="center"/>
          </w:tcPr>
          <w:p w14:paraId="6B8F643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35</w:t>
            </w:r>
          </w:p>
        </w:tc>
      </w:tr>
      <w:tr w14:paraId="1BC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continue"/>
            <w:noWrap w:val="0"/>
            <w:vAlign w:val="center"/>
          </w:tcPr>
          <w:p w14:paraId="56BFD6F3">
            <w:pPr>
              <w:spacing w:line="240" w:lineRule="auto"/>
              <w:ind w:firstLine="0" w:firstLineChars="0"/>
              <w:jc w:val="center"/>
              <w:rPr>
                <w:rFonts w:hint="default" w:ascii="Times New Roman" w:hAnsi="Times New Roman" w:eastAsia="宋体" w:cs="Times New Roman"/>
                <w:sz w:val="24"/>
              </w:rPr>
            </w:pPr>
          </w:p>
        </w:tc>
        <w:tc>
          <w:tcPr>
            <w:tcW w:w="1428" w:type="pct"/>
            <w:noWrap w:val="0"/>
            <w:vAlign w:val="center"/>
          </w:tcPr>
          <w:p w14:paraId="4BC9F98C">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多层（4～6层）</w:t>
            </w:r>
          </w:p>
        </w:tc>
        <w:tc>
          <w:tcPr>
            <w:tcW w:w="649" w:type="pct"/>
            <w:noWrap w:val="0"/>
            <w:vAlign w:val="center"/>
          </w:tcPr>
          <w:p w14:paraId="42A340D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2.2</w:t>
            </w:r>
          </w:p>
        </w:tc>
        <w:tc>
          <w:tcPr>
            <w:tcW w:w="736" w:type="pct"/>
            <w:noWrap w:val="0"/>
            <w:vAlign w:val="center"/>
          </w:tcPr>
          <w:p w14:paraId="3336068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43</w:t>
            </w:r>
          </w:p>
        </w:tc>
        <w:tc>
          <w:tcPr>
            <w:tcW w:w="672" w:type="pct"/>
            <w:noWrap w:val="0"/>
            <w:vAlign w:val="center"/>
          </w:tcPr>
          <w:p w14:paraId="2B1612F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25</w:t>
            </w:r>
          </w:p>
        </w:tc>
        <w:tc>
          <w:tcPr>
            <w:tcW w:w="665" w:type="pct"/>
            <w:noWrap w:val="0"/>
            <w:vAlign w:val="center"/>
          </w:tcPr>
          <w:p w14:paraId="7DFCD8E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35</w:t>
            </w:r>
          </w:p>
        </w:tc>
      </w:tr>
      <w:tr w14:paraId="2924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restart"/>
            <w:noWrap w:val="0"/>
            <w:vAlign w:val="center"/>
          </w:tcPr>
          <w:p w14:paraId="7DAC2E0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商业服务业用地09</w:t>
            </w:r>
          </w:p>
        </w:tc>
        <w:tc>
          <w:tcPr>
            <w:tcW w:w="1428" w:type="pct"/>
            <w:noWrap w:val="0"/>
            <w:vAlign w:val="center"/>
          </w:tcPr>
          <w:p w14:paraId="367CE92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低层（1～3层）</w:t>
            </w:r>
          </w:p>
        </w:tc>
        <w:tc>
          <w:tcPr>
            <w:tcW w:w="649" w:type="pct"/>
            <w:noWrap w:val="0"/>
            <w:vAlign w:val="center"/>
          </w:tcPr>
          <w:p w14:paraId="6EF747F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1.5</w:t>
            </w:r>
          </w:p>
        </w:tc>
        <w:tc>
          <w:tcPr>
            <w:tcW w:w="736" w:type="pct"/>
            <w:noWrap w:val="0"/>
            <w:vAlign w:val="center"/>
          </w:tcPr>
          <w:p w14:paraId="4F5324A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53</w:t>
            </w:r>
          </w:p>
        </w:tc>
        <w:tc>
          <w:tcPr>
            <w:tcW w:w="672" w:type="pct"/>
            <w:noWrap w:val="0"/>
            <w:vAlign w:val="center"/>
          </w:tcPr>
          <w:p w14:paraId="2DA4CD1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c>
          <w:tcPr>
            <w:tcW w:w="665" w:type="pct"/>
            <w:noWrap w:val="0"/>
            <w:vAlign w:val="center"/>
          </w:tcPr>
          <w:p w14:paraId="30DE87F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20</w:t>
            </w:r>
          </w:p>
        </w:tc>
      </w:tr>
      <w:tr w14:paraId="7F08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vMerge w:val="continue"/>
            <w:noWrap w:val="0"/>
            <w:vAlign w:val="center"/>
          </w:tcPr>
          <w:p w14:paraId="41515157">
            <w:pPr>
              <w:spacing w:line="240" w:lineRule="auto"/>
              <w:ind w:firstLine="0" w:firstLineChars="0"/>
              <w:jc w:val="center"/>
              <w:rPr>
                <w:rFonts w:hint="default" w:ascii="Times New Roman" w:hAnsi="Times New Roman" w:eastAsia="宋体" w:cs="Times New Roman"/>
                <w:sz w:val="24"/>
              </w:rPr>
            </w:pPr>
          </w:p>
        </w:tc>
        <w:tc>
          <w:tcPr>
            <w:tcW w:w="1428" w:type="pct"/>
            <w:noWrap w:val="0"/>
            <w:vAlign w:val="center"/>
          </w:tcPr>
          <w:p w14:paraId="73D1B23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多层（4～6层）</w:t>
            </w:r>
          </w:p>
        </w:tc>
        <w:tc>
          <w:tcPr>
            <w:tcW w:w="649" w:type="pct"/>
            <w:noWrap w:val="0"/>
            <w:vAlign w:val="center"/>
          </w:tcPr>
          <w:p w14:paraId="466A674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2.5</w:t>
            </w:r>
          </w:p>
        </w:tc>
        <w:tc>
          <w:tcPr>
            <w:tcW w:w="736" w:type="pct"/>
            <w:noWrap w:val="0"/>
            <w:vAlign w:val="center"/>
          </w:tcPr>
          <w:p w14:paraId="7458E424">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48</w:t>
            </w:r>
          </w:p>
        </w:tc>
        <w:tc>
          <w:tcPr>
            <w:tcW w:w="672" w:type="pct"/>
            <w:noWrap w:val="0"/>
            <w:vAlign w:val="center"/>
          </w:tcPr>
          <w:p w14:paraId="1E0E0A0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c>
          <w:tcPr>
            <w:tcW w:w="665" w:type="pct"/>
            <w:noWrap w:val="0"/>
            <w:vAlign w:val="center"/>
          </w:tcPr>
          <w:p w14:paraId="72C50C1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20</w:t>
            </w:r>
          </w:p>
        </w:tc>
      </w:tr>
    </w:tbl>
    <w:p w14:paraId="36ECE854">
      <w:pPr>
        <w:spacing w:line="480" w:lineRule="atLeas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注：1.混合用地根据其主导功能用途确定开发强度指标限值。</w:t>
      </w:r>
    </w:p>
    <w:p w14:paraId="3429F0CB">
      <w:pPr>
        <w:spacing w:line="480" w:lineRule="atLeast"/>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2.本表中的层数为地块建筑平均层数，小地块不应建设高层建筑。</w:t>
      </w:r>
    </w:p>
    <w:p w14:paraId="2C6454E9">
      <w:pPr>
        <w:spacing w:line="480" w:lineRule="atLeast"/>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3.本表格中公共管理与公共服务设施用地不包含教育用地、体育用地、医疗卫生用地、社会福利用地。 </w:t>
      </w:r>
    </w:p>
    <w:p w14:paraId="01800E6F">
      <w:pPr>
        <w:spacing w:line="480" w:lineRule="atLeast"/>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4.城镇社区服务设施用地中托儿所、老年人日间照料中心需同时满足安全、日照等要求。  </w:t>
      </w:r>
    </w:p>
    <w:p w14:paraId="2CBAC00F">
      <w:pPr>
        <w:spacing w:line="480" w:lineRule="atLeast"/>
        <w:ind w:firstLine="4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5.工业仓储用地开发强度指标根据《工业项目建设用地控制指标》进行控制。</w:t>
      </w:r>
    </w:p>
    <w:p w14:paraId="04B0E701">
      <w:pPr>
        <w:pStyle w:val="3"/>
        <w:ind w:firstLine="1044"/>
        <w:rPr>
          <w:rFonts w:hint="default" w:ascii="Times New Roman" w:hAnsi="Times New Roman" w:cs="Times New Roman"/>
        </w:rPr>
      </w:pPr>
    </w:p>
    <w:p w14:paraId="19C6D970">
      <w:pPr>
        <w:pStyle w:val="4"/>
        <w:ind w:firstLine="640"/>
        <w:rPr>
          <w:rFonts w:hint="default" w:ascii="Times New Roman" w:hAnsi="Times New Roman" w:cs="Times New Roman"/>
        </w:rPr>
      </w:pPr>
    </w:p>
    <w:p w14:paraId="1E5A831C">
      <w:pPr>
        <w:pStyle w:val="4"/>
        <w:ind w:firstLine="640"/>
        <w:rPr>
          <w:rFonts w:hint="default" w:ascii="Times New Roman" w:hAnsi="Times New Roman" w:cs="Times New Roman"/>
        </w:rPr>
      </w:pPr>
    </w:p>
    <w:p w14:paraId="456F2DD5">
      <w:pPr>
        <w:pStyle w:val="4"/>
        <w:adjustRightInd w:val="0"/>
        <w:snapToGrid w:val="0"/>
        <w:spacing w:after="0" w:line="576" w:lineRule="exact"/>
        <w:ind w:firstLine="0" w:firstLineChars="0"/>
        <w:jc w:val="center"/>
        <w:rPr>
          <w:rFonts w:hint="default" w:ascii="Times New Roman" w:hAnsi="Times New Roman" w:eastAsia="方正小标宋简体" w:cs="Times New Roman"/>
          <w:kern w:val="0"/>
          <w:szCs w:val="32"/>
          <w:lang w:bidi="ar"/>
        </w:rPr>
      </w:pPr>
      <w:r>
        <w:rPr>
          <w:rFonts w:hint="default" w:ascii="Times New Roman" w:hAnsi="Times New Roman" w:eastAsia="方正小标宋简体" w:cs="Times New Roman"/>
          <w:kern w:val="0"/>
          <w:szCs w:val="32"/>
          <w:lang w:bidi="ar"/>
        </w:rPr>
        <w:t>表3：小地块停车位规划指标控制表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2616"/>
        <w:gridCol w:w="2568"/>
        <w:gridCol w:w="1416"/>
        <w:gridCol w:w="1274"/>
      </w:tblGrid>
      <w:tr w14:paraId="7678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3" w:type="dxa"/>
            <w:gridSpan w:val="2"/>
            <w:noWrap w:val="0"/>
            <w:vAlign w:val="center"/>
          </w:tcPr>
          <w:p w14:paraId="7A0DF482">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项目</w:t>
            </w:r>
          </w:p>
        </w:tc>
        <w:tc>
          <w:tcPr>
            <w:tcW w:w="2568" w:type="dxa"/>
            <w:noWrap w:val="0"/>
            <w:vAlign w:val="center"/>
          </w:tcPr>
          <w:p w14:paraId="004F98F6">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指标单位</w:t>
            </w:r>
          </w:p>
        </w:tc>
        <w:tc>
          <w:tcPr>
            <w:tcW w:w="1416" w:type="dxa"/>
            <w:noWrap w:val="0"/>
            <w:vAlign w:val="center"/>
          </w:tcPr>
          <w:p w14:paraId="53D68B61">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机动车</w:t>
            </w:r>
          </w:p>
        </w:tc>
        <w:tc>
          <w:tcPr>
            <w:tcW w:w="1274" w:type="dxa"/>
            <w:noWrap w:val="0"/>
            <w:vAlign w:val="center"/>
          </w:tcPr>
          <w:p w14:paraId="20CBC732">
            <w:pPr>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非机动车</w:t>
            </w:r>
          </w:p>
        </w:tc>
      </w:tr>
      <w:tr w14:paraId="0527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noWrap w:val="0"/>
            <w:vAlign w:val="center"/>
          </w:tcPr>
          <w:p w14:paraId="52EBA60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住宅</w:t>
            </w:r>
          </w:p>
        </w:tc>
        <w:tc>
          <w:tcPr>
            <w:tcW w:w="2616" w:type="dxa"/>
            <w:noWrap w:val="0"/>
            <w:vAlign w:val="center"/>
          </w:tcPr>
          <w:p w14:paraId="33ACBB3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商品房</w:t>
            </w:r>
          </w:p>
        </w:tc>
        <w:tc>
          <w:tcPr>
            <w:tcW w:w="2568" w:type="dxa"/>
            <w:noWrap w:val="0"/>
            <w:vAlign w:val="center"/>
          </w:tcPr>
          <w:p w14:paraId="6A0E738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车位/户</w:t>
            </w:r>
          </w:p>
        </w:tc>
        <w:tc>
          <w:tcPr>
            <w:tcW w:w="1416" w:type="dxa"/>
            <w:noWrap w:val="0"/>
            <w:vAlign w:val="center"/>
          </w:tcPr>
          <w:p w14:paraId="0D9A271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1.2～1.5</w:t>
            </w:r>
          </w:p>
        </w:tc>
        <w:tc>
          <w:tcPr>
            <w:tcW w:w="1274" w:type="dxa"/>
            <w:noWrap w:val="0"/>
            <w:vAlign w:val="center"/>
          </w:tcPr>
          <w:p w14:paraId="7DEEB49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0.5</w:t>
            </w:r>
          </w:p>
        </w:tc>
      </w:tr>
      <w:tr w14:paraId="0F18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5CB23171">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405B6D1A">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安置房、城市更新项目</w:t>
            </w:r>
          </w:p>
        </w:tc>
        <w:tc>
          <w:tcPr>
            <w:tcW w:w="2568" w:type="dxa"/>
            <w:noWrap w:val="0"/>
            <w:vAlign w:val="center"/>
          </w:tcPr>
          <w:p w14:paraId="53C01B20">
            <w:pPr>
              <w:widowControl/>
              <w:spacing w:line="240" w:lineRule="auto"/>
              <w:ind w:firstLine="480"/>
              <w:jc w:val="center"/>
              <w:rPr>
                <w:rFonts w:hint="default" w:ascii="Times New Roman" w:hAnsi="Times New Roman" w:eastAsia="宋体" w:cs="Times New Roman"/>
                <w:sz w:val="24"/>
              </w:rPr>
            </w:pPr>
            <w:r>
              <w:rPr>
                <w:rFonts w:hint="default" w:ascii="Times New Roman" w:hAnsi="Times New Roman" w:eastAsia="宋体" w:cs="Times New Roman"/>
                <w:sz w:val="24"/>
              </w:rPr>
              <w:t>车位/户</w:t>
            </w:r>
          </w:p>
        </w:tc>
        <w:tc>
          <w:tcPr>
            <w:tcW w:w="1416" w:type="dxa"/>
            <w:noWrap w:val="0"/>
            <w:vAlign w:val="center"/>
          </w:tcPr>
          <w:p w14:paraId="5155ECD2">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0.5～1.0</w:t>
            </w:r>
          </w:p>
        </w:tc>
        <w:tc>
          <w:tcPr>
            <w:tcW w:w="1274" w:type="dxa"/>
            <w:noWrap w:val="0"/>
            <w:vAlign w:val="center"/>
          </w:tcPr>
          <w:p w14:paraId="39CC75F9">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0.6</w:t>
            </w:r>
          </w:p>
        </w:tc>
      </w:tr>
      <w:tr w14:paraId="1B18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noWrap w:val="0"/>
            <w:vAlign w:val="center"/>
          </w:tcPr>
          <w:p w14:paraId="488F332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办公</w:t>
            </w:r>
          </w:p>
        </w:tc>
        <w:tc>
          <w:tcPr>
            <w:tcW w:w="2616" w:type="dxa"/>
            <w:noWrap w:val="0"/>
            <w:vAlign w:val="center"/>
          </w:tcPr>
          <w:p w14:paraId="76FB780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拥有服务窗口的单位</w:t>
            </w:r>
          </w:p>
        </w:tc>
        <w:tc>
          <w:tcPr>
            <w:tcW w:w="2568" w:type="dxa"/>
            <w:vMerge w:val="restart"/>
            <w:noWrap w:val="0"/>
            <w:vAlign w:val="center"/>
          </w:tcPr>
          <w:p w14:paraId="3C278030">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767CCE0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c>
          <w:tcPr>
            <w:tcW w:w="1274" w:type="dxa"/>
            <w:noWrap w:val="0"/>
            <w:vAlign w:val="center"/>
          </w:tcPr>
          <w:p w14:paraId="7F6E80A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8</w:t>
            </w:r>
          </w:p>
        </w:tc>
      </w:tr>
      <w:tr w14:paraId="3A3E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6D72A63B">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2D796B75">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其他单位</w:t>
            </w:r>
          </w:p>
        </w:tc>
        <w:tc>
          <w:tcPr>
            <w:tcW w:w="2568" w:type="dxa"/>
            <w:vMerge w:val="continue"/>
            <w:noWrap w:val="0"/>
            <w:vAlign w:val="center"/>
          </w:tcPr>
          <w:p w14:paraId="1005E0EC">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1416" w:type="dxa"/>
            <w:noWrap w:val="0"/>
            <w:vAlign w:val="center"/>
          </w:tcPr>
          <w:p w14:paraId="1B181656">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0.7</w:t>
            </w:r>
          </w:p>
        </w:tc>
        <w:tc>
          <w:tcPr>
            <w:tcW w:w="1274" w:type="dxa"/>
            <w:noWrap w:val="0"/>
            <w:vAlign w:val="center"/>
          </w:tcPr>
          <w:p w14:paraId="1F7EBDB5">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6</w:t>
            </w:r>
          </w:p>
        </w:tc>
      </w:tr>
      <w:tr w14:paraId="3A43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noWrap w:val="0"/>
            <w:vAlign w:val="center"/>
          </w:tcPr>
          <w:p w14:paraId="1DC577F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旅馆</w:t>
            </w:r>
          </w:p>
        </w:tc>
        <w:tc>
          <w:tcPr>
            <w:tcW w:w="2616" w:type="dxa"/>
            <w:noWrap w:val="0"/>
            <w:vAlign w:val="center"/>
          </w:tcPr>
          <w:p w14:paraId="2C0894A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星级以上宾馆</w:t>
            </w:r>
          </w:p>
        </w:tc>
        <w:tc>
          <w:tcPr>
            <w:tcW w:w="2568" w:type="dxa"/>
            <w:noWrap w:val="0"/>
            <w:vAlign w:val="center"/>
          </w:tcPr>
          <w:p w14:paraId="30C0C85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3116EE2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0.8</w:t>
            </w:r>
          </w:p>
        </w:tc>
        <w:tc>
          <w:tcPr>
            <w:tcW w:w="1274" w:type="dxa"/>
            <w:noWrap w:val="0"/>
            <w:vAlign w:val="center"/>
          </w:tcPr>
          <w:p w14:paraId="3C0477A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r>
      <w:tr w14:paraId="7C3D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018BD88E">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029BCD68">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一般宾馆、招待所</w:t>
            </w:r>
          </w:p>
        </w:tc>
        <w:tc>
          <w:tcPr>
            <w:tcW w:w="2568" w:type="dxa"/>
            <w:noWrap w:val="0"/>
            <w:vAlign w:val="center"/>
          </w:tcPr>
          <w:p w14:paraId="497F2A17">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3ABB04F3">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0.6</w:t>
            </w:r>
          </w:p>
        </w:tc>
        <w:tc>
          <w:tcPr>
            <w:tcW w:w="1274" w:type="dxa"/>
            <w:noWrap w:val="0"/>
            <w:vAlign w:val="center"/>
          </w:tcPr>
          <w:p w14:paraId="4C371077">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r>
      <w:tr w14:paraId="6A45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3" w:type="dxa"/>
            <w:gridSpan w:val="2"/>
            <w:noWrap w:val="0"/>
            <w:vAlign w:val="center"/>
          </w:tcPr>
          <w:p w14:paraId="270A137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大型餐饮</w:t>
            </w:r>
          </w:p>
        </w:tc>
        <w:tc>
          <w:tcPr>
            <w:tcW w:w="2568" w:type="dxa"/>
            <w:noWrap w:val="0"/>
            <w:vAlign w:val="center"/>
          </w:tcPr>
          <w:p w14:paraId="4741B6D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6870643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1.2～1.5</w:t>
            </w:r>
          </w:p>
        </w:tc>
        <w:tc>
          <w:tcPr>
            <w:tcW w:w="1274" w:type="dxa"/>
            <w:noWrap w:val="0"/>
            <w:vAlign w:val="center"/>
          </w:tcPr>
          <w:p w14:paraId="1DD0BC85">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r>
      <w:tr w14:paraId="6554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3" w:type="dxa"/>
            <w:gridSpan w:val="2"/>
            <w:noWrap w:val="0"/>
            <w:vAlign w:val="center"/>
          </w:tcPr>
          <w:p w14:paraId="200960E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农贸市场</w:t>
            </w:r>
          </w:p>
        </w:tc>
        <w:tc>
          <w:tcPr>
            <w:tcW w:w="2568" w:type="dxa"/>
            <w:noWrap w:val="0"/>
            <w:vAlign w:val="center"/>
          </w:tcPr>
          <w:p w14:paraId="43C53109">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599DB6E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0.8～1.0</w:t>
            </w:r>
          </w:p>
        </w:tc>
        <w:tc>
          <w:tcPr>
            <w:tcW w:w="1274" w:type="dxa"/>
            <w:noWrap w:val="0"/>
            <w:vAlign w:val="center"/>
          </w:tcPr>
          <w:p w14:paraId="0CC9760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r>
      <w:tr w14:paraId="7C88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3" w:type="dxa"/>
            <w:gridSpan w:val="2"/>
            <w:noWrap w:val="0"/>
            <w:vAlign w:val="center"/>
          </w:tcPr>
          <w:p w14:paraId="412CEC1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商业场所</w:t>
            </w:r>
          </w:p>
        </w:tc>
        <w:tc>
          <w:tcPr>
            <w:tcW w:w="2568" w:type="dxa"/>
            <w:noWrap w:val="0"/>
            <w:vAlign w:val="center"/>
          </w:tcPr>
          <w:p w14:paraId="51DA2A6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5B2DC6F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0.6～0.8</w:t>
            </w:r>
          </w:p>
        </w:tc>
        <w:tc>
          <w:tcPr>
            <w:tcW w:w="1274" w:type="dxa"/>
            <w:noWrap w:val="0"/>
            <w:vAlign w:val="center"/>
          </w:tcPr>
          <w:p w14:paraId="043CB5A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r>
      <w:tr w14:paraId="6900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noWrap w:val="0"/>
            <w:vAlign w:val="center"/>
          </w:tcPr>
          <w:p w14:paraId="69118F46">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医院</w:t>
            </w:r>
          </w:p>
        </w:tc>
        <w:tc>
          <w:tcPr>
            <w:tcW w:w="2616" w:type="dxa"/>
            <w:noWrap w:val="0"/>
            <w:vAlign w:val="center"/>
          </w:tcPr>
          <w:p w14:paraId="51C96BC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三级医院</w:t>
            </w:r>
          </w:p>
        </w:tc>
        <w:tc>
          <w:tcPr>
            <w:tcW w:w="2568" w:type="dxa"/>
            <w:vMerge w:val="restart"/>
            <w:noWrap w:val="0"/>
            <w:vAlign w:val="center"/>
          </w:tcPr>
          <w:p w14:paraId="5E8C601F">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580CF538">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1.2</w:t>
            </w:r>
          </w:p>
        </w:tc>
        <w:tc>
          <w:tcPr>
            <w:tcW w:w="1274" w:type="dxa"/>
            <w:noWrap w:val="0"/>
            <w:vAlign w:val="center"/>
          </w:tcPr>
          <w:p w14:paraId="24948FEB">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3.0</w:t>
            </w:r>
          </w:p>
        </w:tc>
      </w:tr>
      <w:tr w14:paraId="61F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56BBA25D">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6919F55F">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其他医院</w:t>
            </w:r>
          </w:p>
        </w:tc>
        <w:tc>
          <w:tcPr>
            <w:tcW w:w="2568" w:type="dxa"/>
            <w:vMerge w:val="continue"/>
            <w:noWrap w:val="0"/>
            <w:vAlign w:val="center"/>
          </w:tcPr>
          <w:p w14:paraId="3CDA31ED">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1416" w:type="dxa"/>
            <w:noWrap w:val="0"/>
            <w:vAlign w:val="center"/>
          </w:tcPr>
          <w:p w14:paraId="7E380F7A">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c>
          <w:tcPr>
            <w:tcW w:w="1274" w:type="dxa"/>
            <w:noWrap w:val="0"/>
            <w:vAlign w:val="center"/>
          </w:tcPr>
          <w:p w14:paraId="0BF87B90">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3.0</w:t>
            </w:r>
          </w:p>
        </w:tc>
      </w:tr>
      <w:tr w14:paraId="0F6D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780C3624">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1B066C47">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社区医疗、独立诊所</w:t>
            </w:r>
          </w:p>
        </w:tc>
        <w:tc>
          <w:tcPr>
            <w:tcW w:w="2568" w:type="dxa"/>
            <w:vMerge w:val="continue"/>
            <w:noWrap w:val="0"/>
            <w:vAlign w:val="center"/>
          </w:tcPr>
          <w:p w14:paraId="2E0A0C3A">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1416" w:type="dxa"/>
            <w:noWrap w:val="0"/>
            <w:vAlign w:val="center"/>
          </w:tcPr>
          <w:p w14:paraId="6D12E508">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w:t>
            </w:r>
          </w:p>
        </w:tc>
        <w:tc>
          <w:tcPr>
            <w:tcW w:w="1274" w:type="dxa"/>
            <w:noWrap w:val="0"/>
            <w:vAlign w:val="center"/>
          </w:tcPr>
          <w:p w14:paraId="36052787">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3.0</w:t>
            </w:r>
          </w:p>
        </w:tc>
      </w:tr>
      <w:tr w14:paraId="2074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3" w:type="dxa"/>
            <w:gridSpan w:val="2"/>
            <w:noWrap w:val="0"/>
            <w:vAlign w:val="center"/>
          </w:tcPr>
          <w:p w14:paraId="0B3A4E1E">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养老院、福利院</w:t>
            </w:r>
          </w:p>
        </w:tc>
        <w:tc>
          <w:tcPr>
            <w:tcW w:w="2568" w:type="dxa"/>
            <w:noWrap w:val="0"/>
            <w:vAlign w:val="center"/>
          </w:tcPr>
          <w:p w14:paraId="737DFBC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604ADB42">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0.6</w:t>
            </w:r>
          </w:p>
        </w:tc>
        <w:tc>
          <w:tcPr>
            <w:tcW w:w="1274" w:type="dxa"/>
            <w:noWrap w:val="0"/>
            <w:vAlign w:val="center"/>
          </w:tcPr>
          <w:p w14:paraId="1607D4C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0.5</w:t>
            </w:r>
          </w:p>
        </w:tc>
      </w:tr>
      <w:tr w14:paraId="45F2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restart"/>
            <w:noWrap w:val="0"/>
            <w:vAlign w:val="center"/>
          </w:tcPr>
          <w:p w14:paraId="7F6BB84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工业和仓储物流</w:t>
            </w:r>
          </w:p>
        </w:tc>
        <w:tc>
          <w:tcPr>
            <w:tcW w:w="2616" w:type="dxa"/>
            <w:noWrap w:val="0"/>
            <w:vAlign w:val="center"/>
          </w:tcPr>
          <w:p w14:paraId="1FB1F1E1">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工业厂房</w:t>
            </w:r>
          </w:p>
        </w:tc>
        <w:tc>
          <w:tcPr>
            <w:tcW w:w="2568" w:type="dxa"/>
            <w:vMerge w:val="restart"/>
            <w:noWrap w:val="0"/>
            <w:vAlign w:val="center"/>
          </w:tcPr>
          <w:p w14:paraId="5EC9FA4A">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车位/100 ㎡建筑面积</w:t>
            </w:r>
          </w:p>
        </w:tc>
        <w:tc>
          <w:tcPr>
            <w:tcW w:w="1416" w:type="dxa"/>
            <w:noWrap w:val="0"/>
            <w:vAlign w:val="center"/>
          </w:tcPr>
          <w:p w14:paraId="5F40FC93">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0.2</w:t>
            </w:r>
          </w:p>
        </w:tc>
        <w:tc>
          <w:tcPr>
            <w:tcW w:w="1274" w:type="dxa"/>
            <w:noWrap w:val="0"/>
            <w:vAlign w:val="center"/>
          </w:tcPr>
          <w:p w14:paraId="06B84E87">
            <w:pPr>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r>
      <w:tr w14:paraId="1D2A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dxa"/>
            <w:vMerge w:val="continue"/>
            <w:noWrap w:val="0"/>
            <w:vAlign w:val="center"/>
          </w:tcPr>
          <w:p w14:paraId="371E1844">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2616" w:type="dxa"/>
            <w:noWrap w:val="0"/>
            <w:vAlign w:val="center"/>
          </w:tcPr>
          <w:p w14:paraId="6B3AFF35">
            <w:pPr>
              <w:widowControl/>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物流、仓储区</w:t>
            </w:r>
          </w:p>
        </w:tc>
        <w:tc>
          <w:tcPr>
            <w:tcW w:w="2568" w:type="dxa"/>
            <w:vMerge w:val="continue"/>
            <w:noWrap w:val="0"/>
            <w:vAlign w:val="center"/>
          </w:tcPr>
          <w:p w14:paraId="5AE1C3D4">
            <w:pPr>
              <w:pStyle w:val="4"/>
              <w:adjustRightInd w:val="0"/>
              <w:snapToGrid w:val="0"/>
              <w:spacing w:after="0" w:line="240" w:lineRule="auto"/>
              <w:ind w:firstLine="480"/>
              <w:jc w:val="center"/>
              <w:rPr>
                <w:rFonts w:hint="default" w:ascii="Times New Roman" w:hAnsi="Times New Roman" w:eastAsia="宋体" w:cs="Times New Roman"/>
                <w:sz w:val="24"/>
              </w:rPr>
            </w:pPr>
          </w:p>
        </w:tc>
        <w:tc>
          <w:tcPr>
            <w:tcW w:w="1416" w:type="dxa"/>
            <w:noWrap w:val="0"/>
            <w:vAlign w:val="center"/>
          </w:tcPr>
          <w:p w14:paraId="26E7F8F3">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0.2</w:t>
            </w:r>
          </w:p>
        </w:tc>
        <w:tc>
          <w:tcPr>
            <w:tcW w:w="1274" w:type="dxa"/>
            <w:noWrap w:val="0"/>
            <w:vAlign w:val="center"/>
          </w:tcPr>
          <w:p w14:paraId="15BC111F">
            <w:pPr>
              <w:pStyle w:val="4"/>
              <w:adjustRightInd w:val="0"/>
              <w:snapToGrid w:val="0"/>
              <w:spacing w:after="0"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r>
    </w:tbl>
    <w:p w14:paraId="110E5E90">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52FFBA16">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72504B0F">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75B09C48">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46D71AFC">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5D8868A2">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1B1091FF">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51BEF4D2">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3D21727C">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6F96E689">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3A1B4816">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43EB6033">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60E97289">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7BA9B75C">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1CC2D6E3">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3D9821C4">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44A0919F">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57EC37D3">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0D5C13DF">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53ABD64F">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4320A5ED">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25DADFA7">
      <w:pPr>
        <w:pStyle w:val="4"/>
        <w:adjustRightInd w:val="0"/>
        <w:snapToGrid w:val="0"/>
        <w:spacing w:after="0" w:line="240" w:lineRule="auto"/>
        <w:ind w:firstLine="0" w:firstLineChars="0"/>
        <w:rPr>
          <w:rFonts w:hint="default" w:ascii="Times New Roman" w:hAnsi="Times New Roman" w:eastAsia="黑体" w:cs="Times New Roman"/>
          <w:kern w:val="0"/>
          <w:sz w:val="24"/>
          <w:lang w:bidi="ar"/>
        </w:rPr>
      </w:pPr>
    </w:p>
    <w:p w14:paraId="39B64342">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6EE07AD0">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7B8589C0">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p>
    <w:p w14:paraId="140C5D9A">
      <w:pPr>
        <w:pStyle w:val="4"/>
        <w:adjustRightInd w:val="0"/>
        <w:snapToGrid w:val="0"/>
        <w:spacing w:after="0" w:line="240" w:lineRule="auto"/>
        <w:ind w:firstLine="480"/>
        <w:jc w:val="center"/>
        <w:rPr>
          <w:rFonts w:hint="default" w:ascii="Times New Roman" w:hAnsi="Times New Roman" w:eastAsia="黑体" w:cs="Times New Roman"/>
          <w:kern w:val="0"/>
          <w:sz w:val="24"/>
          <w:lang w:bidi="ar"/>
        </w:rPr>
      </w:pPr>
      <w:r>
        <w:rPr>
          <w:rFonts w:hint="default" w:ascii="Times New Roman" w:hAnsi="Times New Roman" w:eastAsia="黑体" w:cs="Times New Roman"/>
          <w:kern w:val="0"/>
          <w:sz w:val="24"/>
          <w:lang w:bidi="ar"/>
        </w:rPr>
        <w:t>表4 相邻建筑防火间距要求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157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61" w:type="dxa"/>
            <w:noWrap w:val="0"/>
            <w:vAlign w:val="center"/>
          </w:tcPr>
          <w:p w14:paraId="07028D0C">
            <w:pPr>
              <w:spacing w:line="240" w:lineRule="auto"/>
              <w:ind w:firstLine="0" w:firstLineChars="0"/>
              <w:jc w:val="center"/>
              <w:rPr>
                <w:rFonts w:hint="default" w:ascii="Times New Roman" w:hAnsi="Times New Roman" w:eastAsia="宋体" w:cs="Times New Roman"/>
                <w:szCs w:val="21"/>
              </w:rPr>
            </w:pPr>
            <w:r>
              <w:rPr>
                <w:rFonts w:hint="default" w:ascii="Times New Roman" w:hAnsi="Times New Roman" w:eastAsia="宋体" w:cs="Times New Roman"/>
                <w:b/>
                <w:bCs/>
                <w:sz w:val="24"/>
              </w:rPr>
              <w:t>①一、二级耐火等级民用建筑之间的防火间距基本要求。</w:t>
            </w:r>
          </w:p>
        </w:tc>
      </w:tr>
      <w:tr w14:paraId="3AFC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0B6A122B">
            <w:pPr>
              <w:pStyle w:val="4"/>
              <w:adjustRightInd w:val="0"/>
              <w:snapToGrid w:val="0"/>
              <w:spacing w:after="0" w:line="240" w:lineRule="auto"/>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760085" cy="1318895"/>
                  <wp:effectExtent l="0" t="0" r="12065"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2"/>
                          <a:stretch>
                            <a:fillRect/>
                          </a:stretch>
                        </pic:blipFill>
                        <pic:spPr>
                          <a:xfrm>
                            <a:off x="0" y="0"/>
                            <a:ext cx="5760085" cy="1318895"/>
                          </a:xfrm>
                          <a:prstGeom prst="rect">
                            <a:avLst/>
                          </a:prstGeom>
                          <a:noFill/>
                          <a:ln>
                            <a:noFill/>
                          </a:ln>
                        </pic:spPr>
                      </pic:pic>
                    </a:graphicData>
                  </a:graphic>
                </wp:inline>
              </w:drawing>
            </w:r>
          </w:p>
        </w:tc>
      </w:tr>
      <w:tr w14:paraId="0243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061" w:type="dxa"/>
            <w:noWrap w:val="0"/>
            <w:vAlign w:val="center"/>
          </w:tcPr>
          <w:p w14:paraId="2E7B22DC">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4"/>
              </w:rPr>
              <w:t>②防火墙设置门、窗、洞口时防火间距基本要求。</w:t>
            </w:r>
          </w:p>
        </w:tc>
      </w:tr>
      <w:tr w14:paraId="3566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2D7DFC7C">
            <w:pPr>
              <w:pStyle w:val="4"/>
              <w:adjustRightInd w:val="0"/>
              <w:snapToGrid w:val="0"/>
              <w:spacing w:after="0" w:line="240" w:lineRule="auto"/>
              <w:ind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5606415" cy="2056130"/>
                  <wp:effectExtent l="0" t="0" r="13335" b="1270"/>
                  <wp:docPr id="3"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
                          <pic:cNvPicPr>
                            <a:picLocks noChangeAspect="1"/>
                          </pic:cNvPicPr>
                        </pic:nvPicPr>
                        <pic:blipFill>
                          <a:blip r:embed="rId13"/>
                          <a:stretch>
                            <a:fillRect/>
                          </a:stretch>
                        </pic:blipFill>
                        <pic:spPr>
                          <a:xfrm>
                            <a:off x="0" y="0"/>
                            <a:ext cx="5606415" cy="2056130"/>
                          </a:xfrm>
                          <a:prstGeom prst="rect">
                            <a:avLst/>
                          </a:prstGeom>
                          <a:noFill/>
                          <a:ln>
                            <a:noFill/>
                          </a:ln>
                        </pic:spPr>
                      </pic:pic>
                    </a:graphicData>
                  </a:graphic>
                </wp:inline>
              </w:drawing>
            </w:r>
          </w:p>
        </w:tc>
      </w:tr>
      <w:tr w14:paraId="1837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061" w:type="dxa"/>
            <w:noWrap w:val="0"/>
            <w:vAlign w:val="center"/>
          </w:tcPr>
          <w:p w14:paraId="698034F9">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4"/>
              </w:rPr>
              <w:t>③防火墙不设门、窗、洞口时防火间距基本要求。</w:t>
            </w:r>
          </w:p>
        </w:tc>
      </w:tr>
      <w:tr w14:paraId="2AF6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14:paraId="219DB319">
            <w:pPr>
              <w:pStyle w:val="4"/>
              <w:adjustRightInd w:val="0"/>
              <w:snapToGrid w:val="0"/>
              <w:spacing w:after="0" w:line="240" w:lineRule="auto"/>
              <w:ind w:firstLine="64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55515" cy="3175000"/>
                  <wp:effectExtent l="0" t="0" r="6985" b="6350"/>
                  <wp:docPr id="4"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3"/>
                          <pic:cNvPicPr>
                            <a:picLocks noChangeAspect="1"/>
                          </pic:cNvPicPr>
                        </pic:nvPicPr>
                        <pic:blipFill>
                          <a:blip r:embed="rId14"/>
                          <a:stretch>
                            <a:fillRect/>
                          </a:stretch>
                        </pic:blipFill>
                        <pic:spPr>
                          <a:xfrm>
                            <a:off x="0" y="0"/>
                            <a:ext cx="4755515" cy="3175000"/>
                          </a:xfrm>
                          <a:prstGeom prst="rect">
                            <a:avLst/>
                          </a:prstGeom>
                          <a:noFill/>
                          <a:ln>
                            <a:noFill/>
                          </a:ln>
                        </pic:spPr>
                      </pic:pic>
                    </a:graphicData>
                  </a:graphic>
                </wp:inline>
              </w:drawing>
            </w:r>
          </w:p>
        </w:tc>
      </w:tr>
    </w:tbl>
    <w:p w14:paraId="3A2056BD">
      <w:pPr>
        <w:ind w:left="0" w:leftChars="0" w:firstLine="0" w:firstLineChars="0"/>
        <w:rPr>
          <w:rFonts w:hint="default" w:ascii="Times New Roman" w:hAnsi="Times New Roman" w:cs="Times New Roman"/>
        </w:rPr>
      </w:pPr>
    </w:p>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方正小标宋_GBK">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66B66">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6FBDD5">
                          <w:pPr>
                            <w:pStyle w:val="5"/>
                            <w:ind w:firstLine="5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46FBDD5">
                    <w:pPr>
                      <w:pStyle w:val="5"/>
                      <w:ind w:firstLine="56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3922">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B978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E71C2">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59C5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990C0">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909867"/>
    <w:multiLevelType w:val="multilevel"/>
    <w:tmpl w:val="1C909867"/>
    <w:lvl w:ilvl="0" w:tentative="0">
      <w:start w:val="1"/>
      <w:numFmt w:val="chineseCounting"/>
      <w:pStyle w:val="2"/>
      <w:suff w:val="nothing"/>
      <w:lvlText w:val="第%1章 "/>
      <w:lvlJc w:val="left"/>
      <w:pPr>
        <w:tabs>
          <w:tab w:val="left" w:pos="0"/>
        </w:tabs>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suff w:val="space"/>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353554"/>
    <w:rsid w:val="0AE840B8"/>
    <w:rsid w:val="196C651D"/>
    <w:rsid w:val="1A6B5DA4"/>
    <w:rsid w:val="25076E4C"/>
    <w:rsid w:val="26F90B93"/>
    <w:rsid w:val="2A54636F"/>
    <w:rsid w:val="2BDE7D31"/>
    <w:rsid w:val="32EA3D66"/>
    <w:rsid w:val="3F047743"/>
    <w:rsid w:val="432879E8"/>
    <w:rsid w:val="47413512"/>
    <w:rsid w:val="51CD740E"/>
    <w:rsid w:val="58353554"/>
    <w:rsid w:val="5EF11C2B"/>
    <w:rsid w:val="71B7463E"/>
    <w:rsid w:val="735623C8"/>
    <w:rsid w:val="77912C3E"/>
    <w:rsid w:val="7E950D42"/>
    <w:rsid w:val="7F014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960" w:firstLineChars="200"/>
      <w:jc w:val="both"/>
    </w:pPr>
    <w:rPr>
      <w:rFonts w:ascii="Calibri" w:hAnsi="Calibri" w:eastAsia="仿宋_GB2312" w:cs="Times New Roman"/>
      <w:kern w:val="2"/>
      <w:sz w:val="32"/>
      <w:szCs w:val="24"/>
      <w:lang w:val="en-US" w:eastAsia="zh-CN" w:bidi="ar-SA"/>
    </w:rPr>
  </w:style>
  <w:style w:type="paragraph" w:styleId="2">
    <w:name w:val="heading 1"/>
    <w:basedOn w:val="1"/>
    <w:next w:val="1"/>
    <w:qFormat/>
    <w:uiPriority w:val="0"/>
    <w:pPr>
      <w:keepNext/>
      <w:keepLines/>
      <w:numPr>
        <w:ilvl w:val="0"/>
        <w:numId w:val="1"/>
      </w:numPr>
      <w:spacing w:before="100" w:beforeLines="100" w:after="100" w:afterLines="100" w:line="480" w:lineRule="auto"/>
      <w:ind w:left="432" w:leftChars="0" w:right="210" w:rightChars="100" w:hanging="432" w:firstLineChars="0"/>
      <w:jc w:val="center"/>
      <w:outlineLvl w:val="0"/>
    </w:pPr>
    <w:rPr>
      <w:rFonts w:ascii="Calibri" w:hAnsi="Calibri" w:eastAsia="黑体" w:cs="Arial"/>
      <w:b/>
      <w:snapToGrid w:val="0"/>
      <w:color w:val="000000"/>
      <w:kern w:val="44"/>
      <w:sz w:val="30"/>
      <w:szCs w:val="30"/>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Body Text"/>
    <w:basedOn w:val="1"/>
    <w:next w:val="4"/>
    <w:qFormat/>
    <w:uiPriority w:val="99"/>
    <w:pPr>
      <w:tabs>
        <w:tab w:val="left" w:pos="5400"/>
      </w:tabs>
      <w:jc w:val="center"/>
    </w:pPr>
    <w:rPr>
      <w:b/>
      <w:bCs/>
      <w:sz w:val="52"/>
      <w:szCs w:val="52"/>
    </w:rPr>
  </w:style>
  <w:style w:type="paragraph" w:styleId="4">
    <w:name w:val="Body Text 2"/>
    <w:basedOn w:val="1"/>
    <w:qFormat/>
    <w:uiPriority w:val="0"/>
    <w:pPr>
      <w:spacing w:after="120" w:line="480" w:lineRule="auto"/>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2026-04-29T09:02:00Z</dcterms:created>
  <dc:creator> </dc:creator>
  <cp:lastModifiedBy> </cp:lastModifiedBy>
  <dcterms:modified xsi:type="dcterms:W3CDTF">2026-04-29T09:46:36Z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8EE81A0FCB9847AB9DB4E859E3799F25_11</vt:lpwstr>
  </property>
  <property fmtid="{D5CDD505-2E9C-101B-9397-08002B2CF9AE}" pid="4" name="KSOTemplateDocerSaveRecord">
    <vt:lpwstr>eyJoZGlkIjoiNzM4YTIxYzY5M2QxNjU5OGZhMjkxNzc1N2U3YmEyMDQiLCJ1c2VySWQiOiIzMTg0NTQ5NjQifQ==</vt:lpwstr>
  </property>
</Properties>
</file>